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drawings/drawing6.xml" ContentType="application/vnd.openxmlformats-officedocument.drawingml.chartshapes+xml"/>
  <Override PartName="/word/charts/chart13.xml" ContentType="application/vnd.openxmlformats-officedocument.drawingml.chart+xml"/>
  <Override PartName="/word/drawings/drawing7.xml" ContentType="application/vnd.openxmlformats-officedocument.drawingml.chartshapes+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drawings/drawing8.xml" ContentType="application/vnd.openxmlformats-officedocument.drawingml.chartshapes+xml"/>
  <Override PartName="/word/charts/chart17.xml" ContentType="application/vnd.openxmlformats-officedocument.drawingml.chart+xml"/>
  <Override PartName="/word/theme/themeOverride3.xml" ContentType="application/vnd.openxmlformats-officedocument.themeOverride+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drawings/drawing9.xml" ContentType="application/vnd.openxmlformats-officedocument.drawingml.chartshapes+xml"/>
  <Override PartName="/word/charts/chart22.xml" ContentType="application/vnd.openxmlformats-officedocument.drawingml.chart+xml"/>
  <Override PartName="/word/charts/chart23.xml" ContentType="application/vnd.openxmlformats-officedocument.drawingml.chart+xml"/>
  <Override PartName="/word/drawings/drawing10.xml" ContentType="application/vnd.openxmlformats-officedocument.drawingml.chartshapes+xml"/>
  <Override PartName="/word/charts/chart24.xml" ContentType="application/vnd.openxmlformats-officedocument.drawingml.chart+xml"/>
  <Override PartName="/word/charts/chart25.xml" ContentType="application/vnd.openxmlformats-officedocument.drawingml.chart+xml"/>
  <Override PartName="/word/drawings/drawing1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1623912"/>
        <w:docPartObj>
          <w:docPartGallery w:val="Cover Pages"/>
          <w:docPartUnique/>
        </w:docPartObj>
      </w:sdtPr>
      <w:sdtEndPr>
        <w:rPr>
          <w:b/>
          <w:color w:val="auto"/>
          <w:sz w:val="24"/>
          <w:szCs w:val="24"/>
        </w:rPr>
      </w:sdtEndPr>
      <w:sdtContent>
        <w:p w:rsidR="0097189A" w:rsidRDefault="00F86138">
          <w:r>
            <w:rPr>
              <w:b/>
              <w:noProof/>
              <w:color w:val="auto"/>
              <w:sz w:val="24"/>
              <w:szCs w:val="24"/>
              <w:lang w:eastAsia="fr-FR"/>
            </w:rPr>
            <w:pict>
              <v:rect id="_x0000_s1029" style="position:absolute;left:0;text-align:left;margin-left:85.85pt;margin-top:-24.4pt;width:407.25pt;height:89.25pt;z-index:251660288;mso-position-horizontal-relative:text;mso-position-vertical-relative:text;v-text-anchor:middle" fillcolor="white [3212]" strokecolor="#272727 [2749]" strokeweight="1pt">
                <v:stroke dashstyle="1 1" endcap="round"/>
                <v:textbox style="mso-next-textbox:#_x0000_s1029">
                  <w:txbxContent>
                    <w:p w:rsidR="00144D6D" w:rsidRPr="00CA0B15" w:rsidRDefault="00144D6D" w:rsidP="00CA0B15">
                      <w:pPr>
                        <w:spacing w:after="0" w:line="240" w:lineRule="auto"/>
                        <w:ind w:left="142"/>
                        <w:jc w:val="left"/>
                        <w:rPr>
                          <w:b/>
                          <w:color w:val="7A003C"/>
                          <w:sz w:val="60"/>
                          <w:szCs w:val="60"/>
                        </w:rPr>
                      </w:pPr>
                      <w:proofErr w:type="gramStart"/>
                      <w:r w:rsidRPr="00CA0B15">
                        <w:rPr>
                          <w:b/>
                          <w:color w:val="7A003C"/>
                          <w:sz w:val="60"/>
                          <w:szCs w:val="60"/>
                        </w:rPr>
                        <w:t>Les complémentaires santé</w:t>
                      </w:r>
                      <w:proofErr w:type="gramEnd"/>
                    </w:p>
                  </w:txbxContent>
                </v:textbox>
              </v:rect>
            </w:pict>
          </w:r>
          <w:r>
            <w:rPr>
              <w:b/>
              <w:noProof/>
              <w:color w:val="auto"/>
              <w:sz w:val="24"/>
              <w:szCs w:val="24"/>
              <w:lang w:eastAsia="fr-FR"/>
            </w:rPr>
            <w:pict>
              <v:rect id="_x0000_s1028" style="position:absolute;left:0;text-align:left;margin-left:21.1pt;margin-top:-25.4pt;width:56pt;height:89.25pt;z-index:251659264;mso-position-horizontal-relative:text;mso-position-vertical-relative:text" fillcolor="#7a003c" stroked="f"/>
            </w:pict>
          </w:r>
          <w:r>
            <w:rPr>
              <w:b/>
              <w:noProof/>
              <w:color w:val="auto"/>
              <w:sz w:val="24"/>
              <w:szCs w:val="24"/>
              <w:lang w:eastAsia="fr-FR"/>
            </w:rPr>
            <w:pict>
              <v:rect id="_x0000_s1027" style="position:absolute;left:0;text-align:left;margin-left:-69.9pt;margin-top:-128.4pt;width:322.5pt;height:842.25pt;z-index:251657215;mso-position-horizontal-relative:text;mso-position-vertical-relative:text" fillcolor="#f2f2f2 [3052]" stroked="f"/>
            </w:pict>
          </w:r>
          <w:r>
            <w:rPr>
              <w:b/>
              <w:noProof/>
              <w:color w:val="auto"/>
              <w:sz w:val="24"/>
              <w:szCs w:val="24"/>
              <w:lang w:eastAsia="fr-FR"/>
            </w:rPr>
            <w:pict>
              <v:shapetype id="_x0000_t32" coordsize="21600,21600" o:spt="32" o:oned="t" path="m,l21600,21600e" filled="f">
                <v:path arrowok="t" fillok="f" o:connecttype="none"/>
                <o:lock v:ext="edit" shapetype="t"/>
              </v:shapetype>
              <v:shape id="_x0000_s1031" type="#_x0000_t32" style="position:absolute;left:0;text-align:left;margin-left:50.1pt;margin-top:-127.4pt;width:0;height:842.25pt;z-index:251663360;mso-position-horizontal-relative:text;mso-position-vertical-relative:text" o:connectortype="straight" strokecolor="#7a003c"/>
            </w:pict>
          </w:r>
          <w:r>
            <w:rPr>
              <w:b/>
              <w:noProof/>
              <w:color w:val="auto"/>
              <w:sz w:val="24"/>
              <w:szCs w:val="24"/>
              <w:lang w:eastAsia="fr-FR"/>
            </w:rPr>
            <w:pict>
              <v:rect id="_x0000_s1026" style="position:absolute;left:0;text-align:left;margin-left:-21.65pt;margin-top:-128.65pt;width:144.75pt;height:844.25pt;z-index:251658240;mso-position-horizontal-relative:text;mso-position-vertical-relative:text" fillcolor="#d8d8d8 [2732]" stroked="f"/>
            </w:pict>
          </w:r>
        </w:p>
        <w:p w:rsidR="0097189A" w:rsidRDefault="0097189A"/>
        <w:p w:rsidR="0097189A" w:rsidRDefault="00F86138">
          <w:pPr>
            <w:jc w:val="left"/>
            <w:rPr>
              <w:b/>
              <w:color w:val="auto"/>
              <w:sz w:val="24"/>
              <w:szCs w:val="24"/>
            </w:rPr>
          </w:pPr>
          <w:r>
            <w:rPr>
              <w:b/>
              <w:noProof/>
              <w:color w:val="auto"/>
              <w:sz w:val="24"/>
              <w:szCs w:val="24"/>
              <w:lang w:eastAsia="fr-FR"/>
            </w:rPr>
            <w:pict>
              <v:rect id="_x0000_s1030" style="position:absolute;margin-left:85.85pt;margin-top:22.1pt;width:407.25pt;height:38.25pt;z-index:251661312;v-text-anchor:middle" fillcolor="#7a003c" stroked="f">
                <v:textbox style="mso-next-textbox:#_x0000_s1030">
                  <w:txbxContent>
                    <w:p w:rsidR="00144D6D" w:rsidRPr="00CA0B15" w:rsidRDefault="00144D6D" w:rsidP="00CA0B15">
                      <w:pPr>
                        <w:spacing w:after="0" w:line="240" w:lineRule="auto"/>
                        <w:jc w:val="center"/>
                        <w:rPr>
                          <w:b/>
                          <w:i/>
                          <w:color w:val="FFFFFF" w:themeColor="background1"/>
                          <w:sz w:val="36"/>
                          <w:szCs w:val="36"/>
                        </w:rPr>
                      </w:pPr>
                      <w:r w:rsidRPr="00CA0B15">
                        <w:rPr>
                          <w:b/>
                          <w:i/>
                          <w:color w:val="FFFFFF" w:themeColor="background1"/>
                          <w:sz w:val="36"/>
                          <w:szCs w:val="36"/>
                        </w:rPr>
                        <w:t>Vers un rôle accru dans la régulation des dépenses</w:t>
                      </w:r>
                    </w:p>
                  </w:txbxContent>
                </v:textbox>
              </v:rect>
            </w:pict>
          </w:r>
        </w:p>
        <w:p w:rsidR="0097189A" w:rsidRDefault="00F86138">
          <w:pPr>
            <w:jc w:val="left"/>
            <w:rPr>
              <w:b/>
              <w:color w:val="auto"/>
              <w:sz w:val="24"/>
              <w:szCs w:val="24"/>
            </w:rPr>
          </w:pPr>
        </w:p>
      </w:sdtContent>
    </w:sdt>
    <w:p w:rsidR="001B6F72" w:rsidRDefault="001B6F72" w:rsidP="00655C9A">
      <w:pPr>
        <w:spacing w:after="0"/>
        <w:jc w:val="center"/>
        <w:rPr>
          <w:b/>
          <w:color w:val="auto"/>
          <w:sz w:val="24"/>
          <w:szCs w:val="24"/>
        </w:rPr>
      </w:pPr>
    </w:p>
    <w:p w:rsidR="001B6F72" w:rsidRDefault="001B6F72" w:rsidP="00655C9A">
      <w:pPr>
        <w:spacing w:after="0"/>
        <w:jc w:val="center"/>
        <w:rPr>
          <w:b/>
          <w:color w:val="auto"/>
          <w:sz w:val="24"/>
          <w:szCs w:val="24"/>
        </w:rPr>
      </w:pPr>
    </w:p>
    <w:p w:rsidR="001B6F72" w:rsidRDefault="001B6F72" w:rsidP="00655C9A">
      <w:pPr>
        <w:spacing w:after="0"/>
        <w:jc w:val="center"/>
        <w:rPr>
          <w:b/>
          <w:color w:val="auto"/>
          <w:sz w:val="24"/>
          <w:szCs w:val="24"/>
        </w:rPr>
      </w:pPr>
    </w:p>
    <w:p w:rsidR="001B6F72" w:rsidRDefault="000C47C0" w:rsidP="000C47C0">
      <w:pPr>
        <w:spacing w:after="0"/>
        <w:rPr>
          <w:b/>
          <w:color w:val="auto"/>
          <w:sz w:val="24"/>
          <w:szCs w:val="24"/>
        </w:rPr>
      </w:pPr>
      <w:r>
        <w:rPr>
          <w:b/>
          <w:noProof/>
          <w:color w:val="auto"/>
          <w:sz w:val="24"/>
          <w:szCs w:val="24"/>
          <w:lang w:eastAsia="fr-FR"/>
        </w:rPr>
        <w:drawing>
          <wp:anchor distT="0" distB="0" distL="114300" distR="114300" simplePos="0" relativeHeight="251662336" behindDoc="0" locked="0" layoutInCell="1" allowOverlap="1">
            <wp:simplePos x="0" y="0"/>
            <wp:positionH relativeFrom="column">
              <wp:posOffset>3439795</wp:posOffset>
            </wp:positionH>
            <wp:positionV relativeFrom="paragraph">
              <wp:posOffset>147955</wp:posOffset>
            </wp:positionV>
            <wp:extent cx="1833880" cy="645795"/>
            <wp:effectExtent l="19050" t="0" r="0" b="0"/>
            <wp:wrapNone/>
            <wp:docPr id="19" name="Image 18" descr="LOGO ASTERES V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TERES VF.jpg"/>
                    <pic:cNvPicPr/>
                  </pic:nvPicPr>
                  <pic:blipFill>
                    <a:blip r:embed="rId9" cstate="print"/>
                    <a:stretch>
                      <a:fillRect/>
                    </a:stretch>
                  </pic:blipFill>
                  <pic:spPr>
                    <a:xfrm>
                      <a:off x="0" y="0"/>
                      <a:ext cx="1833880" cy="645795"/>
                    </a:xfrm>
                    <a:prstGeom prst="rect">
                      <a:avLst/>
                    </a:prstGeom>
                  </pic:spPr>
                </pic:pic>
              </a:graphicData>
            </a:graphic>
          </wp:anchor>
        </w:drawing>
      </w:r>
    </w:p>
    <w:p w:rsidR="001B6F72" w:rsidRDefault="001B6F72" w:rsidP="00655C9A">
      <w:pPr>
        <w:spacing w:after="0"/>
        <w:jc w:val="center"/>
        <w:rPr>
          <w:b/>
          <w:color w:val="auto"/>
          <w:sz w:val="24"/>
          <w:szCs w:val="24"/>
        </w:rPr>
      </w:pPr>
    </w:p>
    <w:p w:rsidR="001B6F72" w:rsidRDefault="001B6F72" w:rsidP="00655C9A">
      <w:pPr>
        <w:spacing w:after="0"/>
        <w:jc w:val="center"/>
        <w:rPr>
          <w:b/>
          <w:color w:val="auto"/>
          <w:sz w:val="24"/>
          <w:szCs w:val="24"/>
        </w:rPr>
      </w:pPr>
    </w:p>
    <w:p w:rsidR="004C0319" w:rsidRDefault="004C0319" w:rsidP="00A172B8">
      <w:pPr>
        <w:spacing w:after="0"/>
        <w:ind w:left="5387"/>
        <w:jc w:val="left"/>
        <w:rPr>
          <w:b/>
          <w:color w:val="262626" w:themeColor="text1" w:themeTint="D9"/>
          <w:sz w:val="24"/>
          <w:szCs w:val="24"/>
        </w:rPr>
      </w:pPr>
    </w:p>
    <w:p w:rsidR="004C0319" w:rsidRDefault="004C0319" w:rsidP="00A172B8">
      <w:pPr>
        <w:spacing w:after="0"/>
        <w:ind w:left="5387"/>
        <w:jc w:val="left"/>
        <w:rPr>
          <w:b/>
          <w:color w:val="262626" w:themeColor="text1" w:themeTint="D9"/>
          <w:sz w:val="24"/>
          <w:szCs w:val="24"/>
        </w:rPr>
      </w:pPr>
    </w:p>
    <w:p w:rsidR="004C0319" w:rsidRDefault="004C0319" w:rsidP="00D3372C">
      <w:pPr>
        <w:spacing w:after="0"/>
        <w:jc w:val="left"/>
        <w:rPr>
          <w:b/>
          <w:color w:val="262626" w:themeColor="text1" w:themeTint="D9"/>
          <w:sz w:val="24"/>
          <w:szCs w:val="24"/>
        </w:rPr>
      </w:pPr>
    </w:p>
    <w:p w:rsidR="001B6F72" w:rsidRPr="000C47C0" w:rsidRDefault="00CA0B15" w:rsidP="004C0319">
      <w:pPr>
        <w:spacing w:after="0"/>
        <w:ind w:left="5670"/>
        <w:jc w:val="left"/>
        <w:rPr>
          <w:b/>
          <w:color w:val="auto"/>
          <w:sz w:val="20"/>
          <w:szCs w:val="20"/>
        </w:rPr>
      </w:pPr>
      <w:r w:rsidRPr="000C47C0">
        <w:rPr>
          <w:b/>
          <w:color w:val="262626" w:themeColor="text1" w:themeTint="D9"/>
          <w:sz w:val="20"/>
          <w:szCs w:val="20"/>
        </w:rPr>
        <w:t>Etude réalisée par</w:t>
      </w:r>
      <w:r w:rsidRPr="000C47C0">
        <w:rPr>
          <w:b/>
          <w:color w:val="auto"/>
          <w:sz w:val="20"/>
          <w:szCs w:val="20"/>
        </w:rPr>
        <w:t xml:space="preserve"> </w:t>
      </w:r>
      <w:proofErr w:type="spellStart"/>
      <w:r w:rsidRPr="000C47C0">
        <w:rPr>
          <w:b/>
          <w:color w:val="7A003C"/>
          <w:sz w:val="20"/>
          <w:szCs w:val="20"/>
        </w:rPr>
        <w:t>Asterès</w:t>
      </w:r>
      <w:proofErr w:type="spellEnd"/>
    </w:p>
    <w:p w:rsidR="00CA0B15" w:rsidRPr="000C47C0" w:rsidRDefault="00CA0B15" w:rsidP="004C0319">
      <w:pPr>
        <w:spacing w:after="0"/>
        <w:ind w:left="5670"/>
        <w:jc w:val="left"/>
        <w:rPr>
          <w:b/>
          <w:color w:val="auto"/>
          <w:sz w:val="20"/>
          <w:szCs w:val="20"/>
        </w:rPr>
      </w:pPr>
    </w:p>
    <w:p w:rsidR="00CA0B15" w:rsidRPr="000C47C0" w:rsidRDefault="00CA0B15" w:rsidP="004C0319">
      <w:pPr>
        <w:spacing w:after="0"/>
        <w:ind w:left="5670"/>
        <w:jc w:val="left"/>
        <w:rPr>
          <w:b/>
          <w:color w:val="auto"/>
          <w:sz w:val="20"/>
          <w:szCs w:val="20"/>
        </w:rPr>
      </w:pPr>
      <w:proofErr w:type="gramStart"/>
      <w:r w:rsidRPr="000C47C0">
        <w:rPr>
          <w:b/>
          <w:color w:val="262626" w:themeColor="text1" w:themeTint="D9"/>
          <w:sz w:val="20"/>
          <w:szCs w:val="20"/>
        </w:rPr>
        <w:t>pour</w:t>
      </w:r>
      <w:proofErr w:type="gramEnd"/>
      <w:r w:rsidRPr="000C47C0">
        <w:rPr>
          <w:b/>
          <w:color w:val="262626" w:themeColor="text1" w:themeTint="D9"/>
          <w:sz w:val="20"/>
          <w:szCs w:val="20"/>
        </w:rPr>
        <w:t xml:space="preserve"> le compte de la</w:t>
      </w:r>
      <w:r w:rsidRPr="000C47C0">
        <w:rPr>
          <w:b/>
          <w:color w:val="auto"/>
          <w:sz w:val="20"/>
          <w:szCs w:val="20"/>
        </w:rPr>
        <w:t xml:space="preserve"> </w:t>
      </w:r>
      <w:r w:rsidRPr="000C47C0">
        <w:rPr>
          <w:b/>
          <w:color w:val="7A003C"/>
          <w:sz w:val="20"/>
          <w:szCs w:val="20"/>
        </w:rPr>
        <w:t>Fédération nationale de la Mutualité Française</w:t>
      </w:r>
    </w:p>
    <w:p w:rsidR="00CA0B15" w:rsidRPr="000C47C0" w:rsidRDefault="00CA0B15" w:rsidP="004C0319">
      <w:pPr>
        <w:spacing w:after="0"/>
        <w:ind w:left="5670"/>
        <w:jc w:val="left"/>
        <w:rPr>
          <w:b/>
          <w:color w:val="auto"/>
          <w:sz w:val="20"/>
          <w:szCs w:val="20"/>
        </w:rPr>
      </w:pPr>
    </w:p>
    <w:p w:rsidR="00CA0B15" w:rsidRPr="000C47C0" w:rsidRDefault="00CA0B15" w:rsidP="004C0319">
      <w:pPr>
        <w:spacing w:after="0"/>
        <w:ind w:left="5670"/>
        <w:jc w:val="left"/>
        <w:rPr>
          <w:b/>
          <w:color w:val="262626" w:themeColor="text1" w:themeTint="D9"/>
          <w:sz w:val="20"/>
          <w:szCs w:val="20"/>
        </w:rPr>
      </w:pPr>
      <w:r w:rsidRPr="000C47C0">
        <w:rPr>
          <w:b/>
          <w:color w:val="262626" w:themeColor="text1" w:themeTint="D9"/>
          <w:sz w:val="20"/>
          <w:szCs w:val="20"/>
        </w:rPr>
        <w:t>Septembre 2012</w:t>
      </w:r>
    </w:p>
    <w:p w:rsidR="001B6F72" w:rsidRDefault="001B6F72" w:rsidP="0097189A">
      <w:pPr>
        <w:spacing w:after="0"/>
        <w:ind w:left="5387"/>
        <w:jc w:val="center"/>
        <w:rPr>
          <w:b/>
          <w:color w:val="auto"/>
          <w:sz w:val="24"/>
          <w:szCs w:val="24"/>
        </w:rPr>
      </w:pPr>
    </w:p>
    <w:p w:rsidR="001B6F72" w:rsidRDefault="001B6F72" w:rsidP="00655C9A">
      <w:pPr>
        <w:spacing w:after="0"/>
        <w:jc w:val="center"/>
        <w:rPr>
          <w:b/>
          <w:color w:val="auto"/>
          <w:sz w:val="24"/>
          <w:szCs w:val="24"/>
        </w:rPr>
      </w:pPr>
    </w:p>
    <w:p w:rsidR="001B6F72" w:rsidRDefault="001B6F72" w:rsidP="00655C9A">
      <w:pPr>
        <w:spacing w:after="0"/>
        <w:jc w:val="center"/>
        <w:rPr>
          <w:b/>
          <w:color w:val="auto"/>
          <w:sz w:val="24"/>
          <w:szCs w:val="24"/>
        </w:rPr>
      </w:pPr>
    </w:p>
    <w:p w:rsidR="001B6F72" w:rsidRDefault="001B6F72" w:rsidP="00655C9A">
      <w:pPr>
        <w:spacing w:after="0"/>
        <w:jc w:val="center"/>
        <w:rPr>
          <w:b/>
          <w:color w:val="auto"/>
          <w:sz w:val="24"/>
          <w:szCs w:val="24"/>
        </w:rPr>
      </w:pPr>
    </w:p>
    <w:p w:rsidR="001B6F72" w:rsidRDefault="001B6F72" w:rsidP="00655C9A">
      <w:pPr>
        <w:spacing w:after="0"/>
        <w:jc w:val="center"/>
        <w:rPr>
          <w:b/>
          <w:color w:val="auto"/>
          <w:sz w:val="24"/>
          <w:szCs w:val="24"/>
        </w:rPr>
      </w:pPr>
    </w:p>
    <w:p w:rsidR="001B6F72" w:rsidRDefault="001B6F72" w:rsidP="00655C9A">
      <w:pPr>
        <w:spacing w:after="0"/>
        <w:jc w:val="center"/>
        <w:rPr>
          <w:b/>
          <w:color w:val="auto"/>
          <w:sz w:val="24"/>
          <w:szCs w:val="24"/>
        </w:rPr>
      </w:pPr>
    </w:p>
    <w:p w:rsidR="001B6F72" w:rsidRDefault="001B6F72" w:rsidP="00655C9A">
      <w:pPr>
        <w:spacing w:after="0"/>
        <w:jc w:val="center"/>
        <w:rPr>
          <w:b/>
          <w:color w:val="auto"/>
          <w:sz w:val="24"/>
          <w:szCs w:val="24"/>
        </w:rPr>
      </w:pPr>
    </w:p>
    <w:p w:rsidR="001B6F72" w:rsidRDefault="000C47C0" w:rsidP="00655C9A">
      <w:pPr>
        <w:spacing w:after="0"/>
        <w:jc w:val="center"/>
        <w:rPr>
          <w:b/>
          <w:color w:val="auto"/>
          <w:sz w:val="24"/>
          <w:szCs w:val="24"/>
        </w:rPr>
      </w:pPr>
      <w:r>
        <w:rPr>
          <w:b/>
          <w:noProof/>
          <w:color w:val="auto"/>
          <w:sz w:val="24"/>
          <w:szCs w:val="24"/>
          <w:lang w:eastAsia="fr-FR"/>
        </w:rPr>
        <w:drawing>
          <wp:anchor distT="0" distB="0" distL="114300" distR="114300" simplePos="0" relativeHeight="251749376" behindDoc="0" locked="0" layoutInCell="1" allowOverlap="1">
            <wp:simplePos x="0" y="0"/>
            <wp:positionH relativeFrom="column">
              <wp:posOffset>1753235</wp:posOffset>
            </wp:positionH>
            <wp:positionV relativeFrom="paragraph">
              <wp:posOffset>48895</wp:posOffset>
            </wp:positionV>
            <wp:extent cx="4899660" cy="2743200"/>
            <wp:effectExtent l="19050" t="0" r="0" b="0"/>
            <wp:wrapNone/>
            <wp:docPr id="5"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1B6F72" w:rsidRDefault="001B6F72" w:rsidP="00655C9A">
      <w:pPr>
        <w:spacing w:after="0"/>
        <w:jc w:val="center"/>
        <w:rPr>
          <w:b/>
          <w:color w:val="auto"/>
          <w:sz w:val="24"/>
          <w:szCs w:val="24"/>
        </w:rPr>
      </w:pPr>
    </w:p>
    <w:p w:rsidR="001B6F72" w:rsidRDefault="001B6F72" w:rsidP="00655C9A">
      <w:pPr>
        <w:spacing w:after="0"/>
        <w:jc w:val="center"/>
        <w:rPr>
          <w:b/>
          <w:color w:val="auto"/>
          <w:sz w:val="24"/>
          <w:szCs w:val="24"/>
        </w:rPr>
      </w:pPr>
    </w:p>
    <w:p w:rsidR="001B6F72" w:rsidRDefault="001B6F72" w:rsidP="00655C9A">
      <w:pPr>
        <w:spacing w:after="0"/>
        <w:jc w:val="center"/>
        <w:rPr>
          <w:b/>
          <w:color w:val="auto"/>
          <w:sz w:val="24"/>
          <w:szCs w:val="24"/>
        </w:rPr>
      </w:pPr>
    </w:p>
    <w:p w:rsidR="001B6F72" w:rsidRDefault="001B6F72" w:rsidP="00655C9A">
      <w:pPr>
        <w:spacing w:after="0"/>
        <w:jc w:val="center"/>
        <w:rPr>
          <w:b/>
          <w:color w:val="auto"/>
          <w:sz w:val="24"/>
          <w:szCs w:val="24"/>
        </w:rPr>
      </w:pPr>
    </w:p>
    <w:p w:rsidR="001B6F72" w:rsidRDefault="001B6F72" w:rsidP="00655C9A">
      <w:pPr>
        <w:spacing w:after="0"/>
        <w:jc w:val="center"/>
        <w:rPr>
          <w:b/>
          <w:color w:val="auto"/>
          <w:sz w:val="24"/>
          <w:szCs w:val="24"/>
        </w:rPr>
      </w:pPr>
    </w:p>
    <w:p w:rsidR="001B6F72" w:rsidRDefault="001B6F72" w:rsidP="00655C9A">
      <w:pPr>
        <w:spacing w:after="0"/>
        <w:jc w:val="center"/>
        <w:rPr>
          <w:b/>
          <w:color w:val="auto"/>
          <w:sz w:val="24"/>
          <w:szCs w:val="24"/>
        </w:rPr>
      </w:pPr>
    </w:p>
    <w:p w:rsidR="001B6F72" w:rsidRDefault="001B6F72" w:rsidP="00655C9A">
      <w:pPr>
        <w:spacing w:after="0"/>
        <w:jc w:val="center"/>
        <w:rPr>
          <w:b/>
          <w:color w:val="auto"/>
          <w:sz w:val="24"/>
          <w:szCs w:val="24"/>
        </w:rPr>
      </w:pPr>
    </w:p>
    <w:p w:rsidR="001B6F72" w:rsidRDefault="001B6F72" w:rsidP="00655C9A">
      <w:pPr>
        <w:spacing w:after="0"/>
        <w:jc w:val="center"/>
        <w:rPr>
          <w:b/>
          <w:color w:val="auto"/>
          <w:sz w:val="24"/>
          <w:szCs w:val="24"/>
        </w:rPr>
      </w:pPr>
    </w:p>
    <w:p w:rsidR="001B6F72" w:rsidRDefault="001B6F72" w:rsidP="00655C9A">
      <w:pPr>
        <w:spacing w:after="0"/>
        <w:jc w:val="center"/>
        <w:rPr>
          <w:b/>
          <w:color w:val="auto"/>
          <w:sz w:val="24"/>
          <w:szCs w:val="24"/>
        </w:rPr>
      </w:pPr>
    </w:p>
    <w:p w:rsidR="003B0A67" w:rsidRDefault="003B0A67" w:rsidP="001B6F72">
      <w:pPr>
        <w:jc w:val="left"/>
        <w:rPr>
          <w:b/>
          <w:color w:val="7A003C"/>
          <w:sz w:val="96"/>
          <w:szCs w:val="96"/>
        </w:rPr>
      </w:pPr>
    </w:p>
    <w:p w:rsidR="003B0A67" w:rsidRDefault="003B0A67" w:rsidP="001B6F72">
      <w:pPr>
        <w:jc w:val="left"/>
        <w:rPr>
          <w:b/>
          <w:color w:val="7A003C"/>
          <w:sz w:val="96"/>
          <w:szCs w:val="96"/>
        </w:rPr>
      </w:pPr>
    </w:p>
    <w:p w:rsidR="003B0A67" w:rsidRDefault="003B0A67" w:rsidP="001B6F72">
      <w:pPr>
        <w:jc w:val="left"/>
        <w:rPr>
          <w:b/>
          <w:color w:val="7A003C"/>
          <w:sz w:val="96"/>
          <w:szCs w:val="96"/>
        </w:rPr>
      </w:pPr>
    </w:p>
    <w:p w:rsidR="003B0A67" w:rsidRDefault="003B0A67" w:rsidP="001B6F72">
      <w:pPr>
        <w:jc w:val="left"/>
        <w:rPr>
          <w:b/>
          <w:color w:val="7A003C"/>
          <w:sz w:val="96"/>
          <w:szCs w:val="96"/>
        </w:rPr>
      </w:pPr>
    </w:p>
    <w:p w:rsidR="003B0A67" w:rsidRDefault="003B0A67" w:rsidP="001B6F72">
      <w:pPr>
        <w:jc w:val="left"/>
        <w:rPr>
          <w:b/>
          <w:color w:val="7A003C"/>
          <w:sz w:val="96"/>
          <w:szCs w:val="96"/>
        </w:rPr>
      </w:pPr>
    </w:p>
    <w:p w:rsidR="003B0A67" w:rsidRDefault="003B0A67" w:rsidP="001B6F72">
      <w:pPr>
        <w:jc w:val="left"/>
        <w:rPr>
          <w:b/>
          <w:color w:val="7A003C"/>
          <w:sz w:val="96"/>
          <w:szCs w:val="96"/>
        </w:rPr>
      </w:pPr>
    </w:p>
    <w:p w:rsidR="003B0A67" w:rsidRDefault="003B0A67" w:rsidP="001B6F72">
      <w:pPr>
        <w:jc w:val="left"/>
        <w:rPr>
          <w:b/>
          <w:color w:val="7A003C"/>
          <w:sz w:val="96"/>
          <w:szCs w:val="96"/>
        </w:rPr>
      </w:pPr>
    </w:p>
    <w:p w:rsidR="003B0A67" w:rsidRDefault="00F86138" w:rsidP="001B6F72">
      <w:pPr>
        <w:jc w:val="left"/>
        <w:rPr>
          <w:b/>
          <w:color w:val="7A003C"/>
          <w:sz w:val="96"/>
          <w:szCs w:val="96"/>
        </w:rPr>
      </w:pPr>
      <w:r>
        <w:rPr>
          <w:b/>
          <w:noProof/>
          <w:color w:val="7A003C"/>
          <w:sz w:val="96"/>
          <w:szCs w:val="96"/>
          <w:lang w:eastAsia="fr-FR"/>
        </w:rPr>
        <w:pict>
          <v:rect id="_x0000_s1096" style="position:absolute;margin-left:139.35pt;margin-top:124.95pt;width:384pt;height:28.5pt;z-index:251744256" strokecolor="white [3212]"/>
        </w:pict>
      </w:r>
    </w:p>
    <w:p w:rsidR="00655C9A" w:rsidRDefault="00655C9A" w:rsidP="002F269C">
      <w:pPr>
        <w:spacing w:after="120" w:line="240" w:lineRule="auto"/>
        <w:jc w:val="left"/>
        <w:rPr>
          <w:b/>
          <w:color w:val="7A003C"/>
          <w:sz w:val="72"/>
          <w:szCs w:val="72"/>
        </w:rPr>
      </w:pPr>
      <w:r w:rsidRPr="003B0A67">
        <w:rPr>
          <w:b/>
          <w:color w:val="7A003C"/>
          <w:sz w:val="72"/>
          <w:szCs w:val="72"/>
        </w:rPr>
        <w:lastRenderedPageBreak/>
        <w:t>Préambule</w:t>
      </w:r>
    </w:p>
    <w:p w:rsidR="002F269C" w:rsidRPr="002F269C" w:rsidRDefault="002F269C" w:rsidP="00415E08">
      <w:pPr>
        <w:jc w:val="left"/>
        <w:rPr>
          <w:b/>
          <w:color w:val="7A003C"/>
          <w:sz w:val="20"/>
          <w:szCs w:val="20"/>
        </w:rPr>
      </w:pPr>
    </w:p>
    <w:p w:rsidR="00655C9A" w:rsidRPr="00FA6EF4" w:rsidRDefault="00655C9A" w:rsidP="000B731A">
      <w:pPr>
        <w:pStyle w:val="Textedebase"/>
        <w:spacing w:after="240" w:line="288" w:lineRule="auto"/>
        <w:ind w:left="0" w:right="1985"/>
        <w:jc w:val="left"/>
        <w:rPr>
          <w:rStyle w:val="grisclair"/>
          <w:szCs w:val="20"/>
        </w:rPr>
      </w:pPr>
      <w:r w:rsidRPr="0048417D">
        <w:rPr>
          <w:rStyle w:val="grisclair"/>
          <w:bCs/>
          <w:szCs w:val="20"/>
        </w:rPr>
        <w:t>La situation des finances publiques</w:t>
      </w:r>
      <w:r w:rsidR="0048417D">
        <w:rPr>
          <w:rStyle w:val="grisclair"/>
          <w:bCs/>
          <w:szCs w:val="20"/>
        </w:rPr>
        <w:t xml:space="preserve"> est préoccupante et le secteur de la santé contribue à maintenir les comptes publics dans le rouge</w:t>
      </w:r>
      <w:r w:rsidRPr="00FA6EF4">
        <w:rPr>
          <w:rStyle w:val="grisclair"/>
          <w:bCs/>
          <w:szCs w:val="20"/>
        </w:rPr>
        <w:t xml:space="preserve">. </w:t>
      </w:r>
      <w:r w:rsidRPr="00FA6EF4">
        <w:rPr>
          <w:rStyle w:val="grisclair"/>
          <w:szCs w:val="20"/>
        </w:rPr>
        <w:t>Le déficit de l’</w:t>
      </w:r>
      <w:r w:rsidR="004759CA">
        <w:rPr>
          <w:rStyle w:val="grisclair"/>
          <w:szCs w:val="20"/>
        </w:rPr>
        <w:t>Assurance maladie</w:t>
      </w:r>
      <w:r w:rsidRPr="00FA6EF4">
        <w:rPr>
          <w:rStyle w:val="grisclair"/>
          <w:szCs w:val="20"/>
        </w:rPr>
        <w:t xml:space="preserve"> est structurel et économiquement non justifiable. Certes, la </w:t>
      </w:r>
      <w:r w:rsidR="009676AD">
        <w:rPr>
          <w:rStyle w:val="grisclair"/>
          <w:szCs w:val="20"/>
        </w:rPr>
        <w:t>Sécurité sociale</w:t>
      </w:r>
      <w:r w:rsidRPr="00FA6EF4">
        <w:rPr>
          <w:rStyle w:val="grisclair"/>
          <w:szCs w:val="20"/>
        </w:rPr>
        <w:t xml:space="preserve"> a adopté depuis plusieurs années des mesures visant à réguler la croissance des dépenses de santé : déremboursement, ticket modérateur, baisse de tarifs dans certaines professions médicales… Néanmoins, les efforts </w:t>
      </w:r>
      <w:r w:rsidR="00927D49">
        <w:rPr>
          <w:rStyle w:val="grisclair"/>
          <w:szCs w:val="20"/>
        </w:rPr>
        <w:t>restant</w:t>
      </w:r>
      <w:r w:rsidRPr="00FA6EF4">
        <w:rPr>
          <w:rStyle w:val="grisclair"/>
          <w:szCs w:val="20"/>
        </w:rPr>
        <w:t xml:space="preserve"> à </w:t>
      </w:r>
      <w:r w:rsidR="006971F2" w:rsidRPr="00FA6EF4">
        <w:rPr>
          <w:rStyle w:val="grisclair"/>
          <w:szCs w:val="20"/>
        </w:rPr>
        <w:t>réaliser</w:t>
      </w:r>
      <w:r w:rsidRPr="00FA6EF4">
        <w:rPr>
          <w:rStyle w:val="grisclair"/>
          <w:szCs w:val="20"/>
        </w:rPr>
        <w:t xml:space="preserve"> pour résorber le déficit de l’</w:t>
      </w:r>
      <w:r w:rsidR="004759CA">
        <w:rPr>
          <w:rStyle w:val="grisclair"/>
          <w:szCs w:val="20"/>
        </w:rPr>
        <w:t>Assurance maladie</w:t>
      </w:r>
      <w:r w:rsidRPr="00FA6EF4">
        <w:rPr>
          <w:rStyle w:val="grisclair"/>
          <w:szCs w:val="20"/>
        </w:rPr>
        <w:t xml:space="preserve"> sont considérables.</w:t>
      </w:r>
    </w:p>
    <w:p w:rsidR="00CA0B15" w:rsidRPr="00FA6EF4" w:rsidRDefault="00CA0B15" w:rsidP="000B731A">
      <w:pPr>
        <w:pStyle w:val="Textedebase"/>
        <w:spacing w:after="240" w:line="288" w:lineRule="auto"/>
        <w:ind w:left="0" w:right="1985"/>
        <w:jc w:val="left"/>
        <w:rPr>
          <w:rStyle w:val="grisclair"/>
          <w:szCs w:val="20"/>
        </w:rPr>
        <w:sectPr w:rsidR="00CA0B15" w:rsidRPr="00FA6EF4" w:rsidSect="00415E08">
          <w:headerReference w:type="default" r:id="rId11"/>
          <w:footerReference w:type="default" r:id="rId12"/>
          <w:pgSz w:w="11906" w:h="16838"/>
          <w:pgMar w:top="2552" w:right="1418" w:bottom="1135" w:left="993" w:header="709" w:footer="289" w:gutter="0"/>
          <w:cols w:space="708"/>
          <w:titlePg/>
          <w:docGrid w:linePitch="360"/>
        </w:sectPr>
      </w:pPr>
    </w:p>
    <w:p w:rsidR="00655C9A" w:rsidRPr="00FA6EF4" w:rsidRDefault="00655C9A" w:rsidP="000B731A">
      <w:pPr>
        <w:pStyle w:val="Textedebase"/>
        <w:spacing w:after="240" w:line="288" w:lineRule="auto"/>
        <w:ind w:left="0" w:right="1985"/>
        <w:jc w:val="left"/>
        <w:rPr>
          <w:rStyle w:val="grisclair"/>
          <w:szCs w:val="20"/>
        </w:rPr>
      </w:pPr>
      <w:r w:rsidRPr="00FA6EF4">
        <w:rPr>
          <w:rStyle w:val="grisclair"/>
          <w:szCs w:val="20"/>
        </w:rPr>
        <w:lastRenderedPageBreak/>
        <w:t xml:space="preserve">La pérennisation du système de santé français passe par une redéfinition de son mode de financement et de sa couverture. </w:t>
      </w:r>
      <w:r w:rsidR="00A50DBB">
        <w:rPr>
          <w:rStyle w:val="grisclair"/>
          <w:szCs w:val="20"/>
        </w:rPr>
        <w:t>L</w:t>
      </w:r>
      <w:r w:rsidRPr="00FA6EF4">
        <w:rPr>
          <w:rStyle w:val="grisclair"/>
          <w:szCs w:val="20"/>
        </w:rPr>
        <w:t xml:space="preserve">e rôle des financeurs privés est </w:t>
      </w:r>
      <w:r w:rsidR="00A50DBB">
        <w:rPr>
          <w:rStyle w:val="grisclair"/>
          <w:szCs w:val="20"/>
        </w:rPr>
        <w:t xml:space="preserve">notamment </w:t>
      </w:r>
      <w:r w:rsidRPr="00FA6EF4">
        <w:rPr>
          <w:rStyle w:val="grisclair"/>
          <w:szCs w:val="20"/>
        </w:rPr>
        <w:t>appelé à se développer. L’</w:t>
      </w:r>
      <w:r w:rsidR="004759CA">
        <w:rPr>
          <w:rStyle w:val="grisclair"/>
          <w:szCs w:val="20"/>
        </w:rPr>
        <w:t>Assurance maladie</w:t>
      </w:r>
      <w:r w:rsidRPr="00FA6EF4">
        <w:rPr>
          <w:rStyle w:val="grisclair"/>
          <w:szCs w:val="20"/>
        </w:rPr>
        <w:t xml:space="preserve"> s’est d’ailleurs déjà désengagée du financement des soins d’optique et dentaires, transférant ainsi la charge de ces dépenses </w:t>
      </w:r>
      <w:r w:rsidR="00A50DBB">
        <w:rPr>
          <w:rStyle w:val="grisclair"/>
          <w:szCs w:val="20"/>
        </w:rPr>
        <w:t xml:space="preserve">aux patients </w:t>
      </w:r>
      <w:proofErr w:type="gramStart"/>
      <w:r w:rsidR="00A50DBB">
        <w:rPr>
          <w:rStyle w:val="grisclair"/>
          <w:szCs w:val="20"/>
        </w:rPr>
        <w:t>aux</w:t>
      </w:r>
      <w:r w:rsidRPr="00FA6EF4">
        <w:rPr>
          <w:rStyle w:val="grisclair"/>
          <w:szCs w:val="20"/>
        </w:rPr>
        <w:t xml:space="preserve"> complémentaires santé</w:t>
      </w:r>
      <w:proofErr w:type="gramEnd"/>
      <w:r w:rsidRPr="00FA6EF4">
        <w:rPr>
          <w:rStyle w:val="grisclair"/>
          <w:szCs w:val="20"/>
        </w:rPr>
        <w:t xml:space="preserve">. Progressivement, à un horizon de moyen-long terme, le financement d’autres types de soins pourrait suivre ce modèle. </w:t>
      </w:r>
    </w:p>
    <w:p w:rsidR="00CA0B15" w:rsidRPr="00FA6EF4" w:rsidRDefault="00CA0B15" w:rsidP="000B731A">
      <w:pPr>
        <w:pStyle w:val="Textedebase"/>
        <w:spacing w:after="240" w:line="288" w:lineRule="auto"/>
        <w:ind w:left="0" w:right="1985"/>
        <w:jc w:val="left"/>
        <w:rPr>
          <w:rStyle w:val="grisclair"/>
          <w:szCs w:val="20"/>
        </w:rPr>
        <w:sectPr w:rsidR="00CA0B15" w:rsidRPr="00FA6EF4" w:rsidSect="00415E08">
          <w:type w:val="continuous"/>
          <w:pgSz w:w="11906" w:h="16838"/>
          <w:pgMar w:top="1928" w:right="1418" w:bottom="1135" w:left="993" w:header="709" w:footer="709" w:gutter="0"/>
          <w:cols w:space="708"/>
          <w:docGrid w:linePitch="360"/>
        </w:sectPr>
      </w:pPr>
    </w:p>
    <w:p w:rsidR="00655C9A" w:rsidRPr="00FA6EF4" w:rsidRDefault="00655C9A" w:rsidP="000B731A">
      <w:pPr>
        <w:pStyle w:val="Textedebase"/>
        <w:spacing w:after="240" w:line="288" w:lineRule="auto"/>
        <w:ind w:left="0" w:right="1985"/>
        <w:jc w:val="left"/>
        <w:rPr>
          <w:rStyle w:val="grisclair"/>
          <w:szCs w:val="20"/>
        </w:rPr>
      </w:pPr>
      <w:r w:rsidRPr="00FA6EF4">
        <w:rPr>
          <w:rStyle w:val="grisclair"/>
          <w:szCs w:val="20"/>
        </w:rPr>
        <w:lastRenderedPageBreak/>
        <w:t xml:space="preserve">Il apparaît dès lors légitime que les </w:t>
      </w:r>
      <w:r w:rsidR="007B3C0D">
        <w:rPr>
          <w:rStyle w:val="grisclair"/>
          <w:szCs w:val="20"/>
        </w:rPr>
        <w:t>organismes complémentaires</w:t>
      </w:r>
      <w:r w:rsidRPr="00FA6EF4">
        <w:rPr>
          <w:rStyle w:val="grisclair"/>
          <w:szCs w:val="20"/>
        </w:rPr>
        <w:t xml:space="preserve"> puissent, à l’image de la </w:t>
      </w:r>
      <w:r w:rsidR="009676AD">
        <w:rPr>
          <w:rStyle w:val="grisclair"/>
          <w:szCs w:val="20"/>
        </w:rPr>
        <w:t>Sécurité sociale</w:t>
      </w:r>
      <w:r w:rsidRPr="00FA6EF4">
        <w:rPr>
          <w:rStyle w:val="grisclair"/>
          <w:szCs w:val="20"/>
        </w:rPr>
        <w:t>, réguler l’augmentation des dépenses de soins qui leur incombent. Evidemment, une régulation par le secteur privé n’est envisageable que si les patients, et plus largement l’ensemble de la collectivité, en tirent de réels avantages.</w:t>
      </w:r>
    </w:p>
    <w:p w:rsidR="00655C9A" w:rsidRPr="00FA6EF4" w:rsidRDefault="00655C9A" w:rsidP="000B731A">
      <w:pPr>
        <w:pStyle w:val="Textedebase"/>
        <w:spacing w:after="240" w:line="288" w:lineRule="auto"/>
        <w:ind w:left="0" w:right="1985"/>
        <w:jc w:val="left"/>
        <w:rPr>
          <w:rStyle w:val="grisclair"/>
          <w:szCs w:val="20"/>
        </w:rPr>
      </w:pPr>
      <w:r w:rsidRPr="00FA6EF4">
        <w:rPr>
          <w:rStyle w:val="grisclair"/>
          <w:szCs w:val="20"/>
        </w:rPr>
        <w:t xml:space="preserve">Dans ce contexte, les </w:t>
      </w:r>
      <w:r w:rsidR="00835E39">
        <w:rPr>
          <w:rStyle w:val="grisclair"/>
          <w:szCs w:val="20"/>
        </w:rPr>
        <w:t xml:space="preserve">organismes complémentaires </w:t>
      </w:r>
      <w:r w:rsidRPr="00FA6EF4">
        <w:rPr>
          <w:rStyle w:val="grisclair"/>
          <w:szCs w:val="20"/>
        </w:rPr>
        <w:t>ont développé un mécanisme de régulation des dépenses reposant sur des réseaux de professionnels de santé conventionnés. Les opticiens-lunetiers sont les premiers concernés. Le principe est s</w:t>
      </w:r>
      <w:r w:rsidR="00835E39">
        <w:rPr>
          <w:rStyle w:val="grisclair"/>
          <w:szCs w:val="20"/>
        </w:rPr>
        <w:t>imple : un opticien accepte de pratiquer des tarifs modérés</w:t>
      </w:r>
      <w:r w:rsidRPr="00FA6EF4">
        <w:rPr>
          <w:rStyle w:val="grisclair"/>
          <w:szCs w:val="20"/>
        </w:rPr>
        <w:t xml:space="preserve"> à qualité de service </w:t>
      </w:r>
      <w:r w:rsidR="006971F2" w:rsidRPr="00FA6EF4">
        <w:rPr>
          <w:rStyle w:val="grisclair"/>
          <w:szCs w:val="20"/>
        </w:rPr>
        <w:t>donnée</w:t>
      </w:r>
      <w:r w:rsidRPr="00FA6EF4">
        <w:rPr>
          <w:rStyle w:val="grisclair"/>
          <w:szCs w:val="20"/>
        </w:rPr>
        <w:t xml:space="preserve"> </w:t>
      </w:r>
      <w:r w:rsidR="00835E39">
        <w:rPr>
          <w:rStyle w:val="grisclair"/>
          <w:szCs w:val="20"/>
        </w:rPr>
        <w:t xml:space="preserve">et </w:t>
      </w:r>
      <w:r w:rsidRPr="00FA6EF4">
        <w:rPr>
          <w:rStyle w:val="grisclair"/>
          <w:szCs w:val="20"/>
        </w:rPr>
        <w:t>en contrepartie d’un flux supplémentaire d</w:t>
      </w:r>
      <w:r w:rsidR="00835E39">
        <w:rPr>
          <w:rStyle w:val="grisclair"/>
          <w:szCs w:val="20"/>
        </w:rPr>
        <w:t>e patients. Afin de garantir ce</w:t>
      </w:r>
      <w:r w:rsidRPr="00FA6EF4">
        <w:rPr>
          <w:rStyle w:val="grisclair"/>
          <w:szCs w:val="20"/>
        </w:rPr>
        <w:t xml:space="preserve"> flux, les complémentaires encouragent leurs assurés à s’orienter vers les magasins conventionnés en leur offrant, entre autre, un taux majoré de remboursement.</w:t>
      </w:r>
    </w:p>
    <w:p w:rsidR="00655C9A" w:rsidRPr="00FA6EF4" w:rsidRDefault="00655C9A" w:rsidP="000B731A">
      <w:pPr>
        <w:pStyle w:val="Textedebase"/>
        <w:spacing w:after="240" w:line="288" w:lineRule="auto"/>
        <w:ind w:left="0" w:right="1985"/>
        <w:jc w:val="left"/>
        <w:rPr>
          <w:rStyle w:val="grisclair"/>
          <w:szCs w:val="20"/>
        </w:rPr>
      </w:pPr>
      <w:r w:rsidRPr="00FA6EF4">
        <w:rPr>
          <w:rStyle w:val="grisclair"/>
          <w:szCs w:val="20"/>
        </w:rPr>
        <w:t>Les travaux d’</w:t>
      </w:r>
      <w:proofErr w:type="spellStart"/>
      <w:r w:rsidRPr="00FA6EF4">
        <w:rPr>
          <w:rStyle w:val="grisclair"/>
          <w:szCs w:val="20"/>
        </w:rPr>
        <w:t>Asterès</w:t>
      </w:r>
      <w:proofErr w:type="spellEnd"/>
      <w:r w:rsidRPr="00FA6EF4">
        <w:rPr>
          <w:rStyle w:val="grisclair"/>
          <w:szCs w:val="20"/>
        </w:rPr>
        <w:t xml:space="preserve">, pour le compte de La Mutualité Française, </w:t>
      </w:r>
      <w:r w:rsidR="00835E39">
        <w:rPr>
          <w:rStyle w:val="grisclair"/>
          <w:szCs w:val="20"/>
        </w:rPr>
        <w:t>analysent</w:t>
      </w:r>
      <w:r w:rsidRPr="00FA6EF4">
        <w:rPr>
          <w:rStyle w:val="grisclair"/>
          <w:szCs w:val="20"/>
        </w:rPr>
        <w:t xml:space="preserve"> la pertinence économique de ce nouveau mode de régulation.</w:t>
      </w:r>
    </w:p>
    <w:p w:rsidR="003B0A67" w:rsidRDefault="00F86138">
      <w:pPr>
        <w:rPr>
          <w:b/>
        </w:rPr>
      </w:pPr>
      <w:r>
        <w:rPr>
          <w:b/>
          <w:noProof/>
          <w:lang w:eastAsia="fr-FR"/>
        </w:rPr>
        <w:pict>
          <v:rect id="_x0000_s1033" style="position:absolute;left:0;text-align:left;margin-left:-53.15pt;margin-top:17pt;width:600pt;height:103.85pt;z-index:251665408;v-text-anchor:middle" fillcolor="#f2f2f2 [3052]" strokecolor="#7f7f7f [1612]">
            <v:stroke dashstyle="1 1" endcap="round"/>
            <v:textbox style="mso-next-textbox:#_x0000_s1033">
              <w:txbxContent>
                <w:p w:rsidR="00144D6D" w:rsidRPr="003B0A67" w:rsidRDefault="00144D6D" w:rsidP="00E257C7">
                  <w:pPr>
                    <w:shd w:val="clear" w:color="auto" w:fill="F2F2F2" w:themeFill="background1" w:themeFillShade="F2"/>
                    <w:tabs>
                      <w:tab w:val="left" w:pos="3261"/>
                    </w:tabs>
                    <w:spacing w:after="120" w:line="240" w:lineRule="auto"/>
                    <w:ind w:left="1418"/>
                    <w:rPr>
                      <w:color w:val="262626" w:themeColor="text1" w:themeTint="D9"/>
                      <w:sz w:val="20"/>
                      <w:szCs w:val="20"/>
                    </w:rPr>
                  </w:pPr>
                  <w:r w:rsidRPr="003B0A67">
                    <w:rPr>
                      <w:b/>
                      <w:color w:val="7A003C"/>
                      <w:sz w:val="20"/>
                      <w:szCs w:val="20"/>
                    </w:rPr>
                    <w:t>Rédacteurs </w:t>
                  </w:r>
                  <w:r w:rsidRPr="003B0A67">
                    <w:rPr>
                      <w:sz w:val="20"/>
                      <w:szCs w:val="20"/>
                    </w:rPr>
                    <w:t xml:space="preserve">: </w:t>
                  </w:r>
                  <w:r w:rsidRPr="003B0A67">
                    <w:rPr>
                      <w:sz w:val="20"/>
                      <w:szCs w:val="20"/>
                    </w:rPr>
                    <w:tab/>
                  </w:r>
                  <w:r w:rsidRPr="003B0A67">
                    <w:rPr>
                      <w:b/>
                      <w:color w:val="262626" w:themeColor="text1" w:themeTint="D9"/>
                      <w:sz w:val="20"/>
                      <w:szCs w:val="20"/>
                    </w:rPr>
                    <w:t>Nicolas Bouzou</w:t>
                  </w:r>
                  <w:r w:rsidRPr="003B0A67">
                    <w:rPr>
                      <w:color w:val="262626" w:themeColor="text1" w:themeTint="D9"/>
                      <w:sz w:val="20"/>
                      <w:szCs w:val="20"/>
                    </w:rPr>
                    <w:tab/>
                  </w:r>
                  <w:r w:rsidRPr="003B0A67">
                    <w:rPr>
                      <w:color w:val="262626" w:themeColor="text1" w:themeTint="D9"/>
                      <w:sz w:val="20"/>
                      <w:szCs w:val="20"/>
                    </w:rPr>
                    <w:tab/>
                  </w:r>
                  <w:r w:rsidRPr="003B0A67">
                    <w:rPr>
                      <w:color w:val="262626" w:themeColor="text1" w:themeTint="D9"/>
                      <w:sz w:val="20"/>
                      <w:szCs w:val="20"/>
                    </w:rPr>
                    <w:tab/>
                  </w:r>
                  <w:r w:rsidRPr="003B0A67">
                    <w:rPr>
                      <w:b/>
                      <w:color w:val="262626" w:themeColor="text1" w:themeTint="D9"/>
                      <w:sz w:val="20"/>
                      <w:szCs w:val="20"/>
                    </w:rPr>
                    <w:t>Christophe Marques</w:t>
                  </w:r>
                </w:p>
                <w:p w:rsidR="00144D6D" w:rsidRPr="0097189A" w:rsidRDefault="00144D6D" w:rsidP="00221249">
                  <w:pPr>
                    <w:tabs>
                      <w:tab w:val="left" w:pos="3261"/>
                    </w:tabs>
                    <w:spacing w:after="0" w:line="240" w:lineRule="auto"/>
                    <w:ind w:left="1418"/>
                    <w:rPr>
                      <w:color w:val="262626" w:themeColor="text1" w:themeTint="D9"/>
                      <w:sz w:val="18"/>
                      <w:szCs w:val="18"/>
                    </w:rPr>
                  </w:pPr>
                  <w:r w:rsidRPr="0097189A">
                    <w:rPr>
                      <w:color w:val="262626" w:themeColor="text1" w:themeTint="D9"/>
                    </w:rPr>
                    <w:tab/>
                  </w:r>
                  <w:r w:rsidRPr="0097189A">
                    <w:rPr>
                      <w:color w:val="262626" w:themeColor="text1" w:themeTint="D9"/>
                      <w:sz w:val="18"/>
                      <w:szCs w:val="18"/>
                    </w:rPr>
                    <w:t>Economiste sénior</w:t>
                  </w:r>
                  <w:r w:rsidRPr="0097189A">
                    <w:rPr>
                      <w:color w:val="262626" w:themeColor="text1" w:themeTint="D9"/>
                      <w:sz w:val="18"/>
                      <w:szCs w:val="18"/>
                    </w:rPr>
                    <w:tab/>
                  </w:r>
                  <w:r w:rsidRPr="0097189A">
                    <w:rPr>
                      <w:color w:val="262626" w:themeColor="text1" w:themeTint="D9"/>
                      <w:sz w:val="18"/>
                      <w:szCs w:val="18"/>
                    </w:rPr>
                    <w:tab/>
                  </w:r>
                  <w:r w:rsidRPr="0097189A">
                    <w:rPr>
                      <w:color w:val="262626" w:themeColor="text1" w:themeTint="D9"/>
                      <w:sz w:val="18"/>
                      <w:szCs w:val="18"/>
                    </w:rPr>
                    <w:tab/>
                    <w:t>Chargé d’études économiques</w:t>
                  </w:r>
                </w:p>
                <w:p w:rsidR="00144D6D" w:rsidRPr="0097189A" w:rsidRDefault="00144D6D" w:rsidP="00221249">
                  <w:pPr>
                    <w:tabs>
                      <w:tab w:val="left" w:pos="3261"/>
                      <w:tab w:val="left" w:pos="6237"/>
                    </w:tabs>
                    <w:spacing w:after="0" w:line="240" w:lineRule="auto"/>
                    <w:ind w:left="1418"/>
                    <w:rPr>
                      <w:color w:val="262626" w:themeColor="text1" w:themeTint="D9"/>
                      <w:sz w:val="18"/>
                      <w:szCs w:val="18"/>
                    </w:rPr>
                  </w:pPr>
                  <w:r w:rsidRPr="0097189A">
                    <w:rPr>
                      <w:color w:val="262626" w:themeColor="text1" w:themeTint="D9"/>
                      <w:sz w:val="18"/>
                      <w:szCs w:val="18"/>
                    </w:rPr>
                    <w:tab/>
                    <w:t>Directeur fondateur d’</w:t>
                  </w:r>
                  <w:proofErr w:type="spellStart"/>
                  <w:r w:rsidRPr="0097189A">
                    <w:rPr>
                      <w:color w:val="262626" w:themeColor="text1" w:themeTint="D9"/>
                      <w:sz w:val="18"/>
                      <w:szCs w:val="18"/>
                    </w:rPr>
                    <w:t>Asterès</w:t>
                  </w:r>
                  <w:proofErr w:type="spellEnd"/>
                  <w:r w:rsidRPr="0097189A">
                    <w:rPr>
                      <w:color w:val="262626" w:themeColor="text1" w:themeTint="D9"/>
                      <w:sz w:val="18"/>
                      <w:szCs w:val="18"/>
                    </w:rPr>
                    <w:tab/>
                  </w:r>
                  <w:r w:rsidRPr="0097189A">
                    <w:rPr>
                      <w:color w:val="262626" w:themeColor="text1" w:themeTint="D9"/>
                      <w:sz w:val="18"/>
                      <w:szCs w:val="18"/>
                    </w:rPr>
                    <w:tab/>
                    <w:t>Pôle analyse des politiques publiques</w:t>
                  </w:r>
                </w:p>
              </w:txbxContent>
            </v:textbox>
          </v:rect>
        </w:pict>
      </w:r>
    </w:p>
    <w:p w:rsidR="00655C9A" w:rsidRDefault="00655C9A">
      <w:pPr>
        <w:rPr>
          <w:b/>
        </w:rPr>
      </w:pPr>
    </w:p>
    <w:p w:rsidR="00655C9A" w:rsidRDefault="00655C9A">
      <w:pPr>
        <w:rPr>
          <w:b/>
        </w:rPr>
      </w:pPr>
    </w:p>
    <w:p w:rsidR="00655C9A" w:rsidRDefault="00655C9A">
      <w:pPr>
        <w:rPr>
          <w:b/>
        </w:rPr>
      </w:pPr>
    </w:p>
    <w:p w:rsidR="00655C9A" w:rsidRDefault="00655C9A">
      <w:pPr>
        <w:rPr>
          <w:b/>
        </w:rPr>
      </w:pPr>
    </w:p>
    <w:p w:rsidR="00655C9A" w:rsidRDefault="00655C9A">
      <w:pPr>
        <w:rPr>
          <w:b/>
        </w:rPr>
      </w:pPr>
    </w:p>
    <w:p w:rsidR="00415E08" w:rsidRDefault="00415E08">
      <w:pPr>
        <w:rPr>
          <w:b/>
        </w:rPr>
      </w:pPr>
    </w:p>
    <w:p w:rsidR="003B0A67" w:rsidRDefault="00F86138" w:rsidP="003B0A67">
      <w:pPr>
        <w:pStyle w:val="Titre1"/>
        <w:jc w:val="center"/>
        <w:rPr>
          <w:color w:val="632423" w:themeColor="accent2" w:themeShade="80"/>
          <w:sz w:val="21"/>
          <w:szCs w:val="21"/>
        </w:rPr>
      </w:pPr>
      <w:r>
        <w:rPr>
          <w:noProof/>
          <w:color w:val="632423" w:themeColor="accent2" w:themeShade="80"/>
          <w:sz w:val="21"/>
          <w:szCs w:val="21"/>
          <w:lang w:eastAsia="fr-FR"/>
        </w:rPr>
        <w:pict>
          <v:rect id="_x0000_s1034" style="position:absolute;left:0;text-align:left;margin-left:-53.9pt;margin-top:4.85pt;width:600pt;height:75.75pt;z-index:251666432;v-text-anchor:middle" fillcolor="#f2f2f2 [3052]" strokecolor="#272727 [2749]" strokeweight="1pt">
            <v:stroke dashstyle="1 1" endcap="round"/>
            <v:textbox style="mso-next-textbox:#_x0000_s1034">
              <w:txbxContent>
                <w:p w:rsidR="00144D6D" w:rsidRPr="008323FE" w:rsidRDefault="00144D6D" w:rsidP="003B0A67">
                  <w:pPr>
                    <w:tabs>
                      <w:tab w:val="left" w:pos="3261"/>
                      <w:tab w:val="left" w:pos="6237"/>
                    </w:tabs>
                    <w:spacing w:after="0" w:line="240" w:lineRule="auto"/>
                    <w:ind w:left="1418"/>
                    <w:rPr>
                      <w:color w:val="262626" w:themeColor="text1" w:themeTint="D9"/>
                      <w:sz w:val="52"/>
                      <w:szCs w:val="52"/>
                    </w:rPr>
                  </w:pPr>
                  <w:r w:rsidRPr="008323FE">
                    <w:rPr>
                      <w:b/>
                      <w:color w:val="7A003C"/>
                      <w:sz w:val="52"/>
                      <w:szCs w:val="52"/>
                    </w:rPr>
                    <w:t>Table des matières</w:t>
                  </w:r>
                </w:p>
              </w:txbxContent>
            </v:textbox>
          </v:rect>
        </w:pict>
      </w:r>
    </w:p>
    <w:p w:rsidR="003B0A67" w:rsidRDefault="003B0A67" w:rsidP="003B0A67">
      <w:pPr>
        <w:pStyle w:val="Titre1"/>
        <w:jc w:val="left"/>
        <w:rPr>
          <w:color w:val="632423" w:themeColor="accent2" w:themeShade="80"/>
          <w:sz w:val="21"/>
          <w:szCs w:val="21"/>
        </w:rPr>
      </w:pPr>
    </w:p>
    <w:p w:rsidR="00123ACE" w:rsidRPr="00123ACE" w:rsidRDefault="00123ACE" w:rsidP="00123ACE"/>
    <w:p w:rsidR="003B0A67" w:rsidRDefault="003B0A67" w:rsidP="003B0A67">
      <w:pPr>
        <w:pStyle w:val="Titre1"/>
        <w:jc w:val="center"/>
        <w:rPr>
          <w:color w:val="632423" w:themeColor="accent2" w:themeShade="80"/>
          <w:sz w:val="21"/>
          <w:szCs w:val="21"/>
        </w:rPr>
      </w:pPr>
    </w:p>
    <w:tbl>
      <w:tblPr>
        <w:tblpPr w:leftFromText="141" w:rightFromText="141" w:vertAnchor="text" w:horzAnchor="margin" w:tblpY="425"/>
        <w:tblW w:w="9654" w:type="dxa"/>
        <w:tblLayout w:type="fixed"/>
        <w:tblCellMar>
          <w:left w:w="0" w:type="dxa"/>
          <w:right w:w="0" w:type="dxa"/>
        </w:tblCellMar>
        <w:tblLook w:val="04A0" w:firstRow="1" w:lastRow="0" w:firstColumn="1" w:lastColumn="0" w:noHBand="0" w:noVBand="1"/>
      </w:tblPr>
      <w:tblGrid>
        <w:gridCol w:w="1291"/>
        <w:gridCol w:w="567"/>
        <w:gridCol w:w="6946"/>
        <w:gridCol w:w="283"/>
        <w:gridCol w:w="567"/>
      </w:tblGrid>
      <w:tr w:rsidR="000F1258" w:rsidRPr="008323FE" w:rsidTr="00A50DBB">
        <w:trPr>
          <w:trHeight w:val="283"/>
        </w:trPr>
        <w:tc>
          <w:tcPr>
            <w:tcW w:w="1291" w:type="dxa"/>
            <w:tcBorders>
              <w:top w:val="nil"/>
              <w:left w:val="nil"/>
              <w:bottom w:val="nil"/>
              <w:right w:val="nil"/>
            </w:tcBorders>
            <w:shd w:val="clear" w:color="auto" w:fill="auto"/>
            <w:tcMar>
              <w:top w:w="15" w:type="dxa"/>
              <w:left w:w="15" w:type="dxa"/>
              <w:bottom w:w="0" w:type="dxa"/>
              <w:right w:w="15" w:type="dxa"/>
            </w:tcMar>
            <w:hideMark/>
          </w:tcPr>
          <w:p w:rsidR="000F1258" w:rsidRPr="008323FE" w:rsidRDefault="000F1258" w:rsidP="004B5E66">
            <w:pPr>
              <w:pStyle w:val="Titre1"/>
              <w:spacing w:before="0" w:line="240" w:lineRule="auto"/>
              <w:jc w:val="left"/>
              <w:rPr>
                <w:color w:val="7A003C"/>
                <w:sz w:val="20"/>
                <w:szCs w:val="20"/>
              </w:rPr>
            </w:pPr>
          </w:p>
        </w:tc>
        <w:tc>
          <w:tcPr>
            <w:tcW w:w="7513" w:type="dxa"/>
            <w:gridSpan w:val="2"/>
            <w:tcBorders>
              <w:top w:val="nil"/>
              <w:left w:val="nil"/>
              <w:bottom w:val="nil"/>
              <w:right w:val="nil"/>
            </w:tcBorders>
          </w:tcPr>
          <w:p w:rsidR="000F1258" w:rsidRPr="008323FE" w:rsidRDefault="000F1258" w:rsidP="004B5E66">
            <w:pPr>
              <w:pStyle w:val="Titre1"/>
              <w:spacing w:before="0" w:line="240" w:lineRule="auto"/>
              <w:jc w:val="left"/>
              <w:rPr>
                <w:color w:val="7A003C"/>
                <w:sz w:val="20"/>
                <w:szCs w:val="20"/>
              </w:rPr>
            </w:pPr>
            <w:r>
              <w:rPr>
                <w:color w:val="7A003C"/>
                <w:sz w:val="20"/>
                <w:szCs w:val="20"/>
              </w:rPr>
              <w:t>Préambule</w:t>
            </w:r>
          </w:p>
        </w:tc>
        <w:tc>
          <w:tcPr>
            <w:tcW w:w="283" w:type="dxa"/>
            <w:tcBorders>
              <w:top w:val="nil"/>
              <w:left w:val="nil"/>
              <w:bottom w:val="nil"/>
              <w:right w:val="nil"/>
            </w:tcBorders>
          </w:tcPr>
          <w:p w:rsidR="000F1258" w:rsidRPr="008323FE" w:rsidRDefault="000F1258" w:rsidP="004B5E66">
            <w:pPr>
              <w:pStyle w:val="Titre1"/>
              <w:spacing w:before="0" w:line="240" w:lineRule="auto"/>
              <w:jc w:val="left"/>
              <w:rPr>
                <w:color w:val="7A003C"/>
                <w:sz w:val="20"/>
                <w:szCs w:val="20"/>
              </w:rPr>
            </w:pPr>
          </w:p>
        </w:tc>
        <w:tc>
          <w:tcPr>
            <w:tcW w:w="567" w:type="dxa"/>
            <w:tcBorders>
              <w:top w:val="nil"/>
              <w:left w:val="nil"/>
              <w:bottom w:val="nil"/>
              <w:right w:val="nil"/>
            </w:tcBorders>
            <w:shd w:val="clear" w:color="auto" w:fill="auto"/>
            <w:tcMar>
              <w:top w:w="15" w:type="dxa"/>
              <w:left w:w="15" w:type="dxa"/>
              <w:bottom w:w="0" w:type="dxa"/>
              <w:right w:w="15" w:type="dxa"/>
            </w:tcMar>
            <w:hideMark/>
          </w:tcPr>
          <w:p w:rsidR="000F1258" w:rsidRPr="008323FE" w:rsidRDefault="00586C37" w:rsidP="004B5E66">
            <w:pPr>
              <w:pStyle w:val="Titre1"/>
              <w:spacing w:before="0" w:line="240" w:lineRule="auto"/>
              <w:jc w:val="left"/>
              <w:rPr>
                <w:color w:val="7A003C"/>
                <w:sz w:val="20"/>
                <w:szCs w:val="20"/>
              </w:rPr>
            </w:pPr>
            <w:r>
              <w:rPr>
                <w:color w:val="7A003C"/>
                <w:sz w:val="20"/>
                <w:szCs w:val="20"/>
              </w:rPr>
              <w:t>3</w:t>
            </w:r>
          </w:p>
        </w:tc>
      </w:tr>
      <w:tr w:rsidR="000F1258" w:rsidRPr="008323FE" w:rsidTr="00A50DBB">
        <w:trPr>
          <w:trHeight w:val="454"/>
        </w:trPr>
        <w:tc>
          <w:tcPr>
            <w:tcW w:w="1291" w:type="dxa"/>
            <w:tcBorders>
              <w:top w:val="nil"/>
              <w:left w:val="nil"/>
              <w:bottom w:val="nil"/>
              <w:right w:val="nil"/>
            </w:tcBorders>
            <w:shd w:val="clear" w:color="auto" w:fill="auto"/>
            <w:tcMar>
              <w:top w:w="15" w:type="dxa"/>
              <w:left w:w="15" w:type="dxa"/>
              <w:bottom w:w="0" w:type="dxa"/>
              <w:right w:w="15" w:type="dxa"/>
            </w:tcMar>
            <w:hideMark/>
          </w:tcPr>
          <w:p w:rsidR="000F1258" w:rsidRPr="008323FE" w:rsidRDefault="000F1258" w:rsidP="004B5E66">
            <w:pPr>
              <w:pStyle w:val="Titre1"/>
              <w:spacing w:before="0" w:line="240" w:lineRule="auto"/>
              <w:jc w:val="left"/>
              <w:rPr>
                <w:color w:val="7A003C"/>
                <w:sz w:val="20"/>
                <w:szCs w:val="20"/>
              </w:rPr>
            </w:pPr>
          </w:p>
        </w:tc>
        <w:tc>
          <w:tcPr>
            <w:tcW w:w="7513" w:type="dxa"/>
            <w:gridSpan w:val="2"/>
            <w:tcBorders>
              <w:top w:val="nil"/>
              <w:left w:val="nil"/>
              <w:bottom w:val="nil"/>
              <w:right w:val="nil"/>
            </w:tcBorders>
          </w:tcPr>
          <w:p w:rsidR="000F1258" w:rsidRDefault="000F1258" w:rsidP="004B5E66">
            <w:pPr>
              <w:pStyle w:val="Titre1"/>
              <w:spacing w:before="0" w:line="240" w:lineRule="auto"/>
              <w:jc w:val="left"/>
              <w:rPr>
                <w:color w:val="7A003C"/>
                <w:sz w:val="20"/>
                <w:szCs w:val="20"/>
              </w:rPr>
            </w:pPr>
          </w:p>
        </w:tc>
        <w:tc>
          <w:tcPr>
            <w:tcW w:w="283" w:type="dxa"/>
            <w:tcBorders>
              <w:top w:val="nil"/>
              <w:left w:val="nil"/>
              <w:bottom w:val="nil"/>
              <w:right w:val="nil"/>
            </w:tcBorders>
          </w:tcPr>
          <w:p w:rsidR="000F1258" w:rsidRPr="008323FE" w:rsidRDefault="000F1258" w:rsidP="004B5E66">
            <w:pPr>
              <w:pStyle w:val="Titre1"/>
              <w:spacing w:before="0" w:line="240" w:lineRule="auto"/>
              <w:jc w:val="left"/>
              <w:rPr>
                <w:color w:val="7A003C"/>
                <w:sz w:val="20"/>
                <w:szCs w:val="20"/>
              </w:rPr>
            </w:pPr>
          </w:p>
        </w:tc>
        <w:tc>
          <w:tcPr>
            <w:tcW w:w="567" w:type="dxa"/>
            <w:tcBorders>
              <w:top w:val="nil"/>
              <w:left w:val="nil"/>
              <w:bottom w:val="nil"/>
              <w:right w:val="nil"/>
            </w:tcBorders>
            <w:shd w:val="clear" w:color="auto" w:fill="auto"/>
            <w:tcMar>
              <w:top w:w="15" w:type="dxa"/>
              <w:left w:w="15" w:type="dxa"/>
              <w:bottom w:w="0" w:type="dxa"/>
              <w:right w:w="15" w:type="dxa"/>
            </w:tcMar>
            <w:hideMark/>
          </w:tcPr>
          <w:p w:rsidR="000F1258" w:rsidRPr="008323FE" w:rsidRDefault="000F1258" w:rsidP="004B5E66">
            <w:pPr>
              <w:pStyle w:val="Titre1"/>
              <w:spacing w:before="0" w:line="240" w:lineRule="auto"/>
              <w:jc w:val="left"/>
              <w:rPr>
                <w:color w:val="7A003C"/>
                <w:sz w:val="20"/>
                <w:szCs w:val="20"/>
              </w:rPr>
            </w:pPr>
          </w:p>
        </w:tc>
      </w:tr>
      <w:tr w:rsidR="000F1258" w:rsidRPr="008323FE" w:rsidTr="00A50DBB">
        <w:trPr>
          <w:trHeight w:val="283"/>
        </w:trPr>
        <w:tc>
          <w:tcPr>
            <w:tcW w:w="1291" w:type="dxa"/>
            <w:tcBorders>
              <w:top w:val="nil"/>
              <w:left w:val="nil"/>
              <w:bottom w:val="nil"/>
              <w:right w:val="nil"/>
            </w:tcBorders>
            <w:shd w:val="clear" w:color="auto" w:fill="auto"/>
            <w:tcMar>
              <w:top w:w="15" w:type="dxa"/>
              <w:left w:w="15" w:type="dxa"/>
              <w:bottom w:w="0" w:type="dxa"/>
              <w:right w:w="15" w:type="dxa"/>
            </w:tcMar>
            <w:hideMark/>
          </w:tcPr>
          <w:p w:rsidR="000F1258" w:rsidRPr="008323FE" w:rsidRDefault="000F1258" w:rsidP="004B5E66">
            <w:pPr>
              <w:pStyle w:val="Titre1"/>
              <w:spacing w:before="0" w:line="240" w:lineRule="auto"/>
              <w:jc w:val="left"/>
              <w:rPr>
                <w:color w:val="7A003C"/>
                <w:sz w:val="20"/>
                <w:szCs w:val="20"/>
              </w:rPr>
            </w:pPr>
            <w:r w:rsidRPr="008323FE">
              <w:rPr>
                <w:color w:val="7A003C"/>
                <w:sz w:val="20"/>
                <w:szCs w:val="20"/>
              </w:rPr>
              <w:t>Partie 0</w:t>
            </w:r>
            <w:r w:rsidR="0001792D">
              <w:rPr>
                <w:color w:val="7A003C"/>
                <w:sz w:val="20"/>
                <w:szCs w:val="20"/>
              </w:rPr>
              <w:t>.</w:t>
            </w:r>
          </w:p>
        </w:tc>
        <w:tc>
          <w:tcPr>
            <w:tcW w:w="7513" w:type="dxa"/>
            <w:gridSpan w:val="2"/>
            <w:tcBorders>
              <w:top w:val="nil"/>
              <w:left w:val="nil"/>
              <w:bottom w:val="nil"/>
              <w:right w:val="nil"/>
            </w:tcBorders>
          </w:tcPr>
          <w:p w:rsidR="000F1258" w:rsidRPr="008323FE" w:rsidRDefault="000F1258" w:rsidP="004B5E66">
            <w:pPr>
              <w:pStyle w:val="Titre1"/>
              <w:spacing w:before="0" w:line="240" w:lineRule="auto"/>
              <w:jc w:val="left"/>
              <w:rPr>
                <w:color w:val="7A003C"/>
                <w:sz w:val="20"/>
                <w:szCs w:val="20"/>
              </w:rPr>
            </w:pPr>
            <w:r w:rsidRPr="008323FE">
              <w:rPr>
                <w:color w:val="7A003C"/>
                <w:sz w:val="20"/>
                <w:szCs w:val="20"/>
              </w:rPr>
              <w:t>Synth</w:t>
            </w:r>
            <w:r>
              <w:rPr>
                <w:color w:val="7A003C"/>
                <w:sz w:val="20"/>
                <w:szCs w:val="20"/>
              </w:rPr>
              <w:t>èse opérationnelle</w:t>
            </w:r>
          </w:p>
        </w:tc>
        <w:tc>
          <w:tcPr>
            <w:tcW w:w="283" w:type="dxa"/>
            <w:tcBorders>
              <w:top w:val="nil"/>
              <w:left w:val="nil"/>
              <w:bottom w:val="nil"/>
              <w:right w:val="nil"/>
            </w:tcBorders>
          </w:tcPr>
          <w:p w:rsidR="000F1258" w:rsidRDefault="000F1258" w:rsidP="004B5E66">
            <w:pPr>
              <w:pStyle w:val="Titre1"/>
              <w:spacing w:before="0" w:line="240" w:lineRule="auto"/>
              <w:jc w:val="left"/>
              <w:rPr>
                <w:color w:val="7A003C"/>
                <w:sz w:val="20"/>
                <w:szCs w:val="20"/>
              </w:rPr>
            </w:pPr>
          </w:p>
        </w:tc>
        <w:tc>
          <w:tcPr>
            <w:tcW w:w="567" w:type="dxa"/>
            <w:tcBorders>
              <w:top w:val="nil"/>
              <w:left w:val="nil"/>
              <w:bottom w:val="nil"/>
              <w:right w:val="nil"/>
            </w:tcBorders>
            <w:shd w:val="clear" w:color="auto" w:fill="auto"/>
            <w:tcMar>
              <w:top w:w="15" w:type="dxa"/>
              <w:left w:w="15" w:type="dxa"/>
              <w:bottom w:w="0" w:type="dxa"/>
              <w:right w:w="15" w:type="dxa"/>
            </w:tcMar>
            <w:hideMark/>
          </w:tcPr>
          <w:p w:rsidR="000F1258" w:rsidRPr="008323FE" w:rsidRDefault="000F1258" w:rsidP="004B5E66">
            <w:pPr>
              <w:pStyle w:val="Titre1"/>
              <w:spacing w:before="0" w:line="240" w:lineRule="auto"/>
              <w:jc w:val="left"/>
              <w:rPr>
                <w:color w:val="7A003C"/>
                <w:sz w:val="20"/>
                <w:szCs w:val="20"/>
              </w:rPr>
            </w:pPr>
            <w:r>
              <w:rPr>
                <w:color w:val="7A003C"/>
                <w:sz w:val="20"/>
                <w:szCs w:val="20"/>
              </w:rPr>
              <w:t>5</w:t>
            </w:r>
          </w:p>
        </w:tc>
      </w:tr>
      <w:tr w:rsidR="000F1258" w:rsidRPr="008323FE" w:rsidTr="00A50DBB">
        <w:trPr>
          <w:trHeight w:val="454"/>
        </w:trPr>
        <w:tc>
          <w:tcPr>
            <w:tcW w:w="1291" w:type="dxa"/>
            <w:tcBorders>
              <w:top w:val="nil"/>
              <w:left w:val="nil"/>
              <w:bottom w:val="nil"/>
              <w:right w:val="nil"/>
            </w:tcBorders>
            <w:shd w:val="clear" w:color="auto" w:fill="auto"/>
            <w:tcMar>
              <w:top w:w="15" w:type="dxa"/>
              <w:left w:w="15" w:type="dxa"/>
              <w:bottom w:w="0" w:type="dxa"/>
              <w:right w:w="15" w:type="dxa"/>
            </w:tcMar>
            <w:hideMark/>
          </w:tcPr>
          <w:p w:rsidR="000F1258" w:rsidRPr="008323FE" w:rsidRDefault="000F1258" w:rsidP="004B5E66">
            <w:pPr>
              <w:pStyle w:val="Titre1"/>
              <w:spacing w:before="0" w:line="240" w:lineRule="auto"/>
              <w:jc w:val="left"/>
              <w:rPr>
                <w:color w:val="7A003C"/>
                <w:sz w:val="20"/>
                <w:szCs w:val="20"/>
              </w:rPr>
            </w:pPr>
          </w:p>
        </w:tc>
        <w:tc>
          <w:tcPr>
            <w:tcW w:w="7513" w:type="dxa"/>
            <w:gridSpan w:val="2"/>
            <w:tcBorders>
              <w:top w:val="nil"/>
              <w:left w:val="nil"/>
              <w:bottom w:val="nil"/>
              <w:right w:val="nil"/>
            </w:tcBorders>
          </w:tcPr>
          <w:p w:rsidR="000F1258" w:rsidRPr="008323FE" w:rsidRDefault="000F1258" w:rsidP="004B5E66">
            <w:pPr>
              <w:pStyle w:val="Titre1"/>
              <w:spacing w:before="0" w:line="240" w:lineRule="auto"/>
              <w:jc w:val="left"/>
              <w:rPr>
                <w:color w:val="7A003C"/>
                <w:sz w:val="20"/>
                <w:szCs w:val="20"/>
              </w:rPr>
            </w:pPr>
          </w:p>
        </w:tc>
        <w:tc>
          <w:tcPr>
            <w:tcW w:w="283" w:type="dxa"/>
            <w:tcBorders>
              <w:top w:val="nil"/>
              <w:left w:val="nil"/>
              <w:bottom w:val="nil"/>
              <w:right w:val="nil"/>
            </w:tcBorders>
          </w:tcPr>
          <w:p w:rsidR="000F1258" w:rsidRDefault="000F1258" w:rsidP="004B5E66">
            <w:pPr>
              <w:pStyle w:val="Titre1"/>
              <w:spacing w:before="0" w:line="240" w:lineRule="auto"/>
              <w:jc w:val="left"/>
              <w:rPr>
                <w:color w:val="7A003C"/>
                <w:sz w:val="20"/>
                <w:szCs w:val="20"/>
              </w:rPr>
            </w:pPr>
          </w:p>
        </w:tc>
        <w:tc>
          <w:tcPr>
            <w:tcW w:w="567" w:type="dxa"/>
            <w:tcBorders>
              <w:top w:val="nil"/>
              <w:left w:val="nil"/>
              <w:bottom w:val="nil"/>
              <w:right w:val="nil"/>
            </w:tcBorders>
            <w:shd w:val="clear" w:color="auto" w:fill="auto"/>
            <w:tcMar>
              <w:top w:w="15" w:type="dxa"/>
              <w:left w:w="15" w:type="dxa"/>
              <w:bottom w:w="0" w:type="dxa"/>
              <w:right w:w="15" w:type="dxa"/>
            </w:tcMar>
            <w:hideMark/>
          </w:tcPr>
          <w:p w:rsidR="000F1258" w:rsidRDefault="000F1258" w:rsidP="004B5E66">
            <w:pPr>
              <w:pStyle w:val="Titre1"/>
              <w:spacing w:before="0" w:line="240" w:lineRule="auto"/>
              <w:jc w:val="left"/>
              <w:rPr>
                <w:color w:val="7A003C"/>
                <w:sz w:val="20"/>
                <w:szCs w:val="20"/>
              </w:rPr>
            </w:pPr>
          </w:p>
        </w:tc>
      </w:tr>
      <w:tr w:rsidR="000F1258" w:rsidRPr="008323FE" w:rsidTr="00A50DBB">
        <w:trPr>
          <w:trHeight w:val="340"/>
        </w:trPr>
        <w:tc>
          <w:tcPr>
            <w:tcW w:w="1291" w:type="dxa"/>
            <w:tcBorders>
              <w:top w:val="nil"/>
              <w:left w:val="nil"/>
              <w:bottom w:val="nil"/>
              <w:right w:val="nil"/>
            </w:tcBorders>
            <w:shd w:val="clear" w:color="auto" w:fill="auto"/>
            <w:tcMar>
              <w:top w:w="15" w:type="dxa"/>
              <w:left w:w="15" w:type="dxa"/>
              <w:bottom w:w="0" w:type="dxa"/>
              <w:right w:w="15" w:type="dxa"/>
            </w:tcMar>
            <w:hideMark/>
          </w:tcPr>
          <w:p w:rsidR="000F1258" w:rsidRPr="008323FE" w:rsidRDefault="000F1258" w:rsidP="004B5E66">
            <w:pPr>
              <w:pStyle w:val="Titre1"/>
              <w:spacing w:before="0" w:line="240" w:lineRule="auto"/>
              <w:jc w:val="left"/>
              <w:rPr>
                <w:color w:val="7A003C"/>
                <w:sz w:val="20"/>
                <w:szCs w:val="20"/>
              </w:rPr>
            </w:pPr>
            <w:r>
              <w:rPr>
                <w:color w:val="7A003C"/>
                <w:sz w:val="20"/>
                <w:szCs w:val="20"/>
              </w:rPr>
              <w:t>Partie 1.</w:t>
            </w:r>
          </w:p>
        </w:tc>
        <w:tc>
          <w:tcPr>
            <w:tcW w:w="7513" w:type="dxa"/>
            <w:gridSpan w:val="2"/>
            <w:tcBorders>
              <w:top w:val="nil"/>
              <w:left w:val="nil"/>
              <w:bottom w:val="nil"/>
              <w:right w:val="nil"/>
            </w:tcBorders>
          </w:tcPr>
          <w:p w:rsidR="000F1258" w:rsidRPr="008323FE" w:rsidRDefault="000F1258" w:rsidP="004B5E66">
            <w:pPr>
              <w:pStyle w:val="Titre1"/>
              <w:spacing w:before="0" w:line="240" w:lineRule="auto"/>
              <w:jc w:val="left"/>
              <w:rPr>
                <w:color w:val="7A003C"/>
                <w:sz w:val="20"/>
                <w:szCs w:val="20"/>
              </w:rPr>
            </w:pPr>
            <w:r>
              <w:rPr>
                <w:color w:val="7A003C"/>
                <w:sz w:val="20"/>
                <w:szCs w:val="20"/>
              </w:rPr>
              <w:t>La croissance des dépenses de santé doit être régulée</w:t>
            </w:r>
            <w:r w:rsidRPr="008323FE">
              <w:rPr>
                <w:color w:val="7A003C"/>
                <w:sz w:val="20"/>
                <w:szCs w:val="20"/>
              </w:rPr>
              <w:t xml:space="preserve"> </w:t>
            </w:r>
          </w:p>
        </w:tc>
        <w:tc>
          <w:tcPr>
            <w:tcW w:w="283" w:type="dxa"/>
            <w:tcBorders>
              <w:top w:val="nil"/>
              <w:left w:val="nil"/>
              <w:bottom w:val="nil"/>
              <w:right w:val="nil"/>
            </w:tcBorders>
          </w:tcPr>
          <w:p w:rsidR="000F1258" w:rsidRDefault="000F1258" w:rsidP="004B5E66">
            <w:pPr>
              <w:pStyle w:val="Titre1"/>
              <w:spacing w:before="0" w:line="240" w:lineRule="auto"/>
              <w:jc w:val="left"/>
              <w:rPr>
                <w:color w:val="7A003C"/>
                <w:sz w:val="20"/>
                <w:szCs w:val="20"/>
              </w:rPr>
            </w:pPr>
          </w:p>
        </w:tc>
        <w:tc>
          <w:tcPr>
            <w:tcW w:w="567" w:type="dxa"/>
            <w:tcBorders>
              <w:top w:val="nil"/>
              <w:left w:val="nil"/>
              <w:bottom w:val="nil"/>
              <w:right w:val="nil"/>
            </w:tcBorders>
            <w:shd w:val="clear" w:color="auto" w:fill="auto"/>
            <w:tcMar>
              <w:top w:w="15" w:type="dxa"/>
              <w:left w:w="15" w:type="dxa"/>
              <w:bottom w:w="0" w:type="dxa"/>
              <w:right w:w="15" w:type="dxa"/>
            </w:tcMar>
            <w:hideMark/>
          </w:tcPr>
          <w:p w:rsidR="000F1258" w:rsidRPr="008323FE" w:rsidRDefault="000F1258" w:rsidP="004B5E66">
            <w:pPr>
              <w:pStyle w:val="Titre1"/>
              <w:spacing w:before="0" w:line="240" w:lineRule="auto"/>
              <w:jc w:val="left"/>
              <w:rPr>
                <w:color w:val="7A003C"/>
                <w:sz w:val="20"/>
                <w:szCs w:val="20"/>
              </w:rPr>
            </w:pPr>
            <w:r>
              <w:rPr>
                <w:color w:val="7A003C"/>
                <w:sz w:val="20"/>
                <w:szCs w:val="20"/>
              </w:rPr>
              <w:t>7</w:t>
            </w:r>
          </w:p>
        </w:tc>
      </w:tr>
      <w:tr w:rsidR="000F1258" w:rsidRPr="008323FE" w:rsidTr="00A50DBB">
        <w:trPr>
          <w:trHeight w:val="408"/>
        </w:trPr>
        <w:tc>
          <w:tcPr>
            <w:tcW w:w="1291" w:type="dxa"/>
            <w:tcBorders>
              <w:top w:val="nil"/>
              <w:left w:val="nil"/>
              <w:bottom w:val="nil"/>
              <w:right w:val="nil"/>
            </w:tcBorders>
            <w:shd w:val="clear" w:color="auto" w:fill="auto"/>
            <w:tcMar>
              <w:top w:w="15" w:type="dxa"/>
              <w:left w:w="15" w:type="dxa"/>
              <w:bottom w:w="0" w:type="dxa"/>
              <w:right w:w="15" w:type="dxa"/>
            </w:tcMar>
            <w:hideMark/>
          </w:tcPr>
          <w:p w:rsidR="000F1258" w:rsidRPr="008323FE" w:rsidRDefault="000F1258" w:rsidP="004B5E66">
            <w:pPr>
              <w:pStyle w:val="Titre1"/>
              <w:spacing w:before="0" w:line="240" w:lineRule="auto"/>
              <w:jc w:val="left"/>
              <w:rPr>
                <w:color w:val="7A003C"/>
                <w:sz w:val="20"/>
                <w:szCs w:val="20"/>
              </w:rPr>
            </w:pPr>
            <w:r w:rsidRPr="008323FE">
              <w:rPr>
                <w:color w:val="7A003C"/>
                <w:sz w:val="20"/>
                <w:szCs w:val="20"/>
              </w:rPr>
              <w:t> </w:t>
            </w:r>
          </w:p>
        </w:tc>
        <w:tc>
          <w:tcPr>
            <w:tcW w:w="567" w:type="dxa"/>
            <w:tcBorders>
              <w:top w:val="nil"/>
              <w:left w:val="nil"/>
              <w:bottom w:val="nil"/>
              <w:right w:val="nil"/>
            </w:tcBorders>
          </w:tcPr>
          <w:p w:rsidR="000F1258" w:rsidRPr="000F1258" w:rsidRDefault="000F1258" w:rsidP="004B5E66">
            <w:pPr>
              <w:pStyle w:val="Titre1"/>
              <w:spacing w:before="0" w:line="240" w:lineRule="auto"/>
              <w:jc w:val="left"/>
              <w:rPr>
                <w:b w:val="0"/>
                <w:color w:val="262626" w:themeColor="text1" w:themeTint="D9"/>
                <w:sz w:val="20"/>
                <w:szCs w:val="20"/>
              </w:rPr>
            </w:pPr>
            <w:r w:rsidRPr="000F1258">
              <w:rPr>
                <w:b w:val="0"/>
                <w:color w:val="262626" w:themeColor="text1" w:themeTint="D9"/>
                <w:sz w:val="20"/>
                <w:szCs w:val="20"/>
              </w:rPr>
              <w:t>[1.1]</w:t>
            </w:r>
          </w:p>
        </w:tc>
        <w:tc>
          <w:tcPr>
            <w:tcW w:w="6946" w:type="dxa"/>
            <w:tcBorders>
              <w:top w:val="nil"/>
              <w:left w:val="nil"/>
              <w:bottom w:val="nil"/>
              <w:right w:val="nil"/>
            </w:tcBorders>
            <w:shd w:val="clear" w:color="auto" w:fill="auto"/>
            <w:tcMar>
              <w:top w:w="15" w:type="dxa"/>
              <w:left w:w="15" w:type="dxa"/>
              <w:bottom w:w="0" w:type="dxa"/>
              <w:right w:w="15" w:type="dxa"/>
            </w:tcMar>
            <w:hideMark/>
          </w:tcPr>
          <w:p w:rsidR="000F1258" w:rsidRPr="000F1258" w:rsidRDefault="000F1258" w:rsidP="0018101B">
            <w:pPr>
              <w:pStyle w:val="Titre1"/>
              <w:spacing w:before="0" w:line="240" w:lineRule="auto"/>
              <w:jc w:val="left"/>
              <w:rPr>
                <w:b w:val="0"/>
                <w:color w:val="262626" w:themeColor="text1" w:themeTint="D9"/>
                <w:sz w:val="20"/>
                <w:szCs w:val="20"/>
              </w:rPr>
            </w:pPr>
            <w:r w:rsidRPr="000F1258">
              <w:rPr>
                <w:b w:val="0"/>
                <w:color w:val="262626" w:themeColor="text1" w:themeTint="D9"/>
                <w:sz w:val="20"/>
                <w:szCs w:val="20"/>
              </w:rPr>
              <w:t> A terme, l’équilibre des finances publiques doit être assuré</w:t>
            </w:r>
          </w:p>
        </w:tc>
        <w:tc>
          <w:tcPr>
            <w:tcW w:w="283" w:type="dxa"/>
            <w:tcBorders>
              <w:top w:val="nil"/>
              <w:left w:val="nil"/>
              <w:bottom w:val="nil"/>
              <w:right w:val="nil"/>
            </w:tcBorders>
          </w:tcPr>
          <w:p w:rsidR="000F1258" w:rsidRPr="000F1258" w:rsidRDefault="000F1258" w:rsidP="004B5E66">
            <w:pPr>
              <w:pStyle w:val="Titre1"/>
              <w:spacing w:before="0" w:line="240" w:lineRule="auto"/>
              <w:jc w:val="left"/>
              <w:rPr>
                <w:b w:val="0"/>
                <w:color w:val="262626" w:themeColor="text1" w:themeTint="D9"/>
                <w:sz w:val="20"/>
                <w:szCs w:val="20"/>
              </w:rPr>
            </w:pPr>
          </w:p>
        </w:tc>
        <w:tc>
          <w:tcPr>
            <w:tcW w:w="567" w:type="dxa"/>
            <w:tcBorders>
              <w:top w:val="nil"/>
              <w:left w:val="nil"/>
              <w:bottom w:val="nil"/>
              <w:right w:val="nil"/>
            </w:tcBorders>
            <w:shd w:val="clear" w:color="auto" w:fill="auto"/>
            <w:tcMar>
              <w:top w:w="15" w:type="dxa"/>
              <w:left w:w="15" w:type="dxa"/>
              <w:bottom w:w="0" w:type="dxa"/>
              <w:right w:w="15" w:type="dxa"/>
            </w:tcMar>
            <w:hideMark/>
          </w:tcPr>
          <w:p w:rsidR="000F1258" w:rsidRPr="000F1258" w:rsidRDefault="000F1258" w:rsidP="004B5E66">
            <w:pPr>
              <w:pStyle w:val="Titre1"/>
              <w:spacing w:before="0" w:line="240" w:lineRule="auto"/>
              <w:jc w:val="left"/>
              <w:rPr>
                <w:b w:val="0"/>
                <w:color w:val="262626" w:themeColor="text1" w:themeTint="D9"/>
                <w:sz w:val="20"/>
                <w:szCs w:val="20"/>
              </w:rPr>
            </w:pPr>
            <w:r w:rsidRPr="000F1258">
              <w:rPr>
                <w:b w:val="0"/>
                <w:color w:val="262626" w:themeColor="text1" w:themeTint="D9"/>
                <w:sz w:val="20"/>
                <w:szCs w:val="20"/>
              </w:rPr>
              <w:t xml:space="preserve">7 </w:t>
            </w:r>
          </w:p>
        </w:tc>
      </w:tr>
      <w:tr w:rsidR="000F1258" w:rsidRPr="008323FE" w:rsidTr="00A50DBB">
        <w:trPr>
          <w:trHeight w:val="408"/>
        </w:trPr>
        <w:tc>
          <w:tcPr>
            <w:tcW w:w="1291" w:type="dxa"/>
            <w:tcBorders>
              <w:top w:val="nil"/>
              <w:left w:val="nil"/>
              <w:bottom w:val="nil"/>
              <w:right w:val="nil"/>
            </w:tcBorders>
            <w:shd w:val="clear" w:color="auto" w:fill="auto"/>
            <w:tcMar>
              <w:top w:w="15" w:type="dxa"/>
              <w:left w:w="15" w:type="dxa"/>
              <w:bottom w:w="0" w:type="dxa"/>
              <w:right w:w="15" w:type="dxa"/>
            </w:tcMar>
            <w:hideMark/>
          </w:tcPr>
          <w:p w:rsidR="000F1258" w:rsidRPr="008323FE" w:rsidRDefault="000F1258" w:rsidP="004B5E66">
            <w:pPr>
              <w:pStyle w:val="Titre1"/>
              <w:spacing w:before="0" w:line="240" w:lineRule="auto"/>
              <w:jc w:val="left"/>
              <w:rPr>
                <w:color w:val="7A003C"/>
                <w:sz w:val="20"/>
                <w:szCs w:val="20"/>
              </w:rPr>
            </w:pPr>
            <w:r w:rsidRPr="008323FE">
              <w:rPr>
                <w:color w:val="7A003C"/>
                <w:sz w:val="20"/>
                <w:szCs w:val="20"/>
              </w:rPr>
              <w:t> </w:t>
            </w:r>
          </w:p>
        </w:tc>
        <w:tc>
          <w:tcPr>
            <w:tcW w:w="567" w:type="dxa"/>
            <w:tcBorders>
              <w:top w:val="nil"/>
              <w:left w:val="nil"/>
              <w:bottom w:val="nil"/>
              <w:right w:val="nil"/>
            </w:tcBorders>
          </w:tcPr>
          <w:p w:rsidR="000F1258" w:rsidRPr="000F1258" w:rsidRDefault="000F1258" w:rsidP="004B5E66">
            <w:pPr>
              <w:pStyle w:val="Titre1"/>
              <w:spacing w:before="0" w:line="240" w:lineRule="auto"/>
              <w:jc w:val="left"/>
              <w:rPr>
                <w:b w:val="0"/>
                <w:color w:val="262626" w:themeColor="text1" w:themeTint="D9"/>
                <w:sz w:val="20"/>
                <w:szCs w:val="20"/>
              </w:rPr>
            </w:pPr>
            <w:r w:rsidRPr="000F1258">
              <w:rPr>
                <w:b w:val="0"/>
                <w:color w:val="262626" w:themeColor="text1" w:themeTint="D9"/>
                <w:sz w:val="20"/>
                <w:szCs w:val="20"/>
              </w:rPr>
              <w:t>[1.2]</w:t>
            </w:r>
          </w:p>
        </w:tc>
        <w:tc>
          <w:tcPr>
            <w:tcW w:w="6946" w:type="dxa"/>
            <w:tcBorders>
              <w:top w:val="nil"/>
              <w:left w:val="nil"/>
              <w:bottom w:val="nil"/>
              <w:right w:val="nil"/>
            </w:tcBorders>
            <w:shd w:val="clear" w:color="auto" w:fill="auto"/>
            <w:tcMar>
              <w:top w:w="15" w:type="dxa"/>
              <w:left w:w="15" w:type="dxa"/>
              <w:bottom w:w="0" w:type="dxa"/>
              <w:right w:w="15" w:type="dxa"/>
            </w:tcMar>
            <w:hideMark/>
          </w:tcPr>
          <w:p w:rsidR="000F1258" w:rsidRPr="000F1258" w:rsidRDefault="000F1258" w:rsidP="004B5E66">
            <w:pPr>
              <w:pStyle w:val="Titre1"/>
              <w:spacing w:before="0" w:line="240" w:lineRule="auto"/>
              <w:jc w:val="left"/>
              <w:rPr>
                <w:b w:val="0"/>
                <w:color w:val="262626" w:themeColor="text1" w:themeTint="D9"/>
                <w:sz w:val="20"/>
                <w:szCs w:val="20"/>
              </w:rPr>
            </w:pPr>
            <w:r w:rsidRPr="000F1258">
              <w:rPr>
                <w:b w:val="0"/>
                <w:color w:val="262626" w:themeColor="text1" w:themeTint="D9"/>
                <w:sz w:val="20"/>
                <w:szCs w:val="20"/>
              </w:rPr>
              <w:t xml:space="preserve"> L’évolution des dépenses de santé pose la question de leur financement </w:t>
            </w:r>
          </w:p>
        </w:tc>
        <w:tc>
          <w:tcPr>
            <w:tcW w:w="283" w:type="dxa"/>
            <w:tcBorders>
              <w:top w:val="nil"/>
              <w:left w:val="nil"/>
              <w:bottom w:val="nil"/>
              <w:right w:val="nil"/>
            </w:tcBorders>
          </w:tcPr>
          <w:p w:rsidR="000F1258" w:rsidRPr="000F1258" w:rsidRDefault="000F1258" w:rsidP="004B5E66">
            <w:pPr>
              <w:pStyle w:val="Titre1"/>
              <w:spacing w:before="0" w:line="240" w:lineRule="auto"/>
              <w:jc w:val="left"/>
              <w:rPr>
                <w:b w:val="0"/>
                <w:color w:val="262626" w:themeColor="text1" w:themeTint="D9"/>
                <w:sz w:val="20"/>
                <w:szCs w:val="20"/>
              </w:rPr>
            </w:pPr>
          </w:p>
        </w:tc>
        <w:tc>
          <w:tcPr>
            <w:tcW w:w="567" w:type="dxa"/>
            <w:tcBorders>
              <w:top w:val="nil"/>
              <w:left w:val="nil"/>
              <w:bottom w:val="nil"/>
              <w:right w:val="nil"/>
            </w:tcBorders>
            <w:shd w:val="clear" w:color="auto" w:fill="auto"/>
            <w:tcMar>
              <w:top w:w="15" w:type="dxa"/>
              <w:left w:w="15" w:type="dxa"/>
              <w:bottom w:w="0" w:type="dxa"/>
              <w:right w:w="15" w:type="dxa"/>
            </w:tcMar>
            <w:hideMark/>
          </w:tcPr>
          <w:p w:rsidR="000F1258" w:rsidRPr="000F1258" w:rsidRDefault="000F1258" w:rsidP="004B5E66">
            <w:pPr>
              <w:pStyle w:val="Titre1"/>
              <w:spacing w:before="0" w:line="240" w:lineRule="auto"/>
              <w:jc w:val="left"/>
              <w:rPr>
                <w:b w:val="0"/>
                <w:color w:val="262626" w:themeColor="text1" w:themeTint="D9"/>
                <w:sz w:val="20"/>
                <w:szCs w:val="20"/>
              </w:rPr>
            </w:pPr>
            <w:r w:rsidRPr="000F1258">
              <w:rPr>
                <w:b w:val="0"/>
                <w:color w:val="262626" w:themeColor="text1" w:themeTint="D9"/>
                <w:sz w:val="20"/>
                <w:szCs w:val="20"/>
              </w:rPr>
              <w:t>10</w:t>
            </w:r>
          </w:p>
        </w:tc>
      </w:tr>
      <w:tr w:rsidR="000F1258" w:rsidRPr="008323FE" w:rsidTr="00A50DBB">
        <w:trPr>
          <w:trHeight w:val="408"/>
        </w:trPr>
        <w:tc>
          <w:tcPr>
            <w:tcW w:w="1291" w:type="dxa"/>
            <w:tcBorders>
              <w:top w:val="nil"/>
              <w:left w:val="nil"/>
              <w:bottom w:val="nil"/>
              <w:right w:val="nil"/>
            </w:tcBorders>
            <w:shd w:val="clear" w:color="auto" w:fill="auto"/>
            <w:tcMar>
              <w:top w:w="15" w:type="dxa"/>
              <w:left w:w="15" w:type="dxa"/>
              <w:bottom w:w="0" w:type="dxa"/>
              <w:right w:w="15" w:type="dxa"/>
            </w:tcMar>
            <w:hideMark/>
          </w:tcPr>
          <w:p w:rsidR="000F1258" w:rsidRPr="008323FE" w:rsidRDefault="000F1258" w:rsidP="004B5E66">
            <w:pPr>
              <w:pStyle w:val="Titre1"/>
              <w:spacing w:before="0" w:line="240" w:lineRule="auto"/>
              <w:jc w:val="left"/>
              <w:rPr>
                <w:color w:val="7A003C"/>
                <w:sz w:val="20"/>
                <w:szCs w:val="20"/>
              </w:rPr>
            </w:pPr>
          </w:p>
        </w:tc>
        <w:tc>
          <w:tcPr>
            <w:tcW w:w="567" w:type="dxa"/>
            <w:tcBorders>
              <w:top w:val="nil"/>
              <w:left w:val="nil"/>
              <w:bottom w:val="nil"/>
              <w:right w:val="nil"/>
            </w:tcBorders>
          </w:tcPr>
          <w:p w:rsidR="000F1258" w:rsidRPr="000F1258" w:rsidRDefault="000F1258" w:rsidP="004B5E66">
            <w:pPr>
              <w:pStyle w:val="Titre1"/>
              <w:spacing w:before="0" w:line="240" w:lineRule="auto"/>
              <w:jc w:val="left"/>
              <w:rPr>
                <w:b w:val="0"/>
                <w:color w:val="262626" w:themeColor="text1" w:themeTint="D9"/>
                <w:sz w:val="20"/>
                <w:szCs w:val="20"/>
              </w:rPr>
            </w:pPr>
            <w:r w:rsidRPr="000F1258">
              <w:rPr>
                <w:b w:val="0"/>
                <w:color w:val="262626" w:themeColor="text1" w:themeTint="D9"/>
                <w:sz w:val="20"/>
                <w:szCs w:val="20"/>
              </w:rPr>
              <w:t>[1.3]</w:t>
            </w:r>
          </w:p>
        </w:tc>
        <w:tc>
          <w:tcPr>
            <w:tcW w:w="6946" w:type="dxa"/>
            <w:tcBorders>
              <w:top w:val="nil"/>
              <w:left w:val="nil"/>
              <w:bottom w:val="nil"/>
              <w:right w:val="nil"/>
            </w:tcBorders>
            <w:shd w:val="clear" w:color="auto" w:fill="auto"/>
            <w:tcMar>
              <w:top w:w="15" w:type="dxa"/>
              <w:left w:w="15" w:type="dxa"/>
              <w:bottom w:w="0" w:type="dxa"/>
              <w:right w:w="15" w:type="dxa"/>
            </w:tcMar>
            <w:hideMark/>
          </w:tcPr>
          <w:p w:rsidR="000F1258" w:rsidRPr="000F1258" w:rsidRDefault="000F1258" w:rsidP="004B5E66">
            <w:pPr>
              <w:pStyle w:val="Titre1"/>
              <w:spacing w:before="0" w:line="240" w:lineRule="auto"/>
              <w:jc w:val="left"/>
              <w:rPr>
                <w:b w:val="0"/>
                <w:color w:val="262626" w:themeColor="text1" w:themeTint="D9"/>
                <w:sz w:val="20"/>
                <w:szCs w:val="20"/>
              </w:rPr>
            </w:pPr>
            <w:r w:rsidRPr="000F1258">
              <w:rPr>
                <w:b w:val="0"/>
                <w:color w:val="262626" w:themeColor="text1" w:themeTint="D9"/>
                <w:sz w:val="20"/>
                <w:szCs w:val="20"/>
              </w:rPr>
              <w:t>La politique publique de santé doit s’adapter à la croissance des dépenses de soins</w:t>
            </w:r>
          </w:p>
        </w:tc>
        <w:tc>
          <w:tcPr>
            <w:tcW w:w="283" w:type="dxa"/>
            <w:tcBorders>
              <w:top w:val="nil"/>
              <w:left w:val="nil"/>
              <w:bottom w:val="nil"/>
              <w:right w:val="nil"/>
            </w:tcBorders>
          </w:tcPr>
          <w:p w:rsidR="000F1258" w:rsidRPr="000F1258" w:rsidRDefault="000F1258" w:rsidP="004B5E66">
            <w:pPr>
              <w:pStyle w:val="Titre1"/>
              <w:spacing w:before="0" w:line="240" w:lineRule="auto"/>
              <w:jc w:val="left"/>
              <w:rPr>
                <w:b w:val="0"/>
                <w:color w:val="262626" w:themeColor="text1" w:themeTint="D9"/>
                <w:sz w:val="20"/>
                <w:szCs w:val="20"/>
              </w:rPr>
            </w:pPr>
          </w:p>
        </w:tc>
        <w:tc>
          <w:tcPr>
            <w:tcW w:w="567" w:type="dxa"/>
            <w:tcBorders>
              <w:top w:val="nil"/>
              <w:left w:val="nil"/>
              <w:bottom w:val="nil"/>
              <w:right w:val="nil"/>
            </w:tcBorders>
            <w:shd w:val="clear" w:color="auto" w:fill="auto"/>
            <w:tcMar>
              <w:top w:w="15" w:type="dxa"/>
              <w:left w:w="15" w:type="dxa"/>
              <w:bottom w:w="0" w:type="dxa"/>
              <w:right w:w="15" w:type="dxa"/>
            </w:tcMar>
            <w:hideMark/>
          </w:tcPr>
          <w:p w:rsidR="000F1258" w:rsidRPr="000F1258" w:rsidRDefault="00F53555" w:rsidP="004B5E66">
            <w:pPr>
              <w:pStyle w:val="Titre1"/>
              <w:spacing w:before="0" w:line="240" w:lineRule="auto"/>
              <w:jc w:val="left"/>
              <w:rPr>
                <w:b w:val="0"/>
                <w:color w:val="262626" w:themeColor="text1" w:themeTint="D9"/>
                <w:sz w:val="20"/>
                <w:szCs w:val="20"/>
              </w:rPr>
            </w:pPr>
            <w:r>
              <w:rPr>
                <w:b w:val="0"/>
                <w:color w:val="262626" w:themeColor="text1" w:themeTint="D9"/>
                <w:sz w:val="20"/>
                <w:szCs w:val="20"/>
              </w:rPr>
              <w:t>14</w:t>
            </w:r>
          </w:p>
        </w:tc>
      </w:tr>
      <w:tr w:rsidR="000F1258" w:rsidRPr="008323FE" w:rsidTr="00A50DBB">
        <w:trPr>
          <w:trHeight w:val="454"/>
        </w:trPr>
        <w:tc>
          <w:tcPr>
            <w:tcW w:w="1291" w:type="dxa"/>
            <w:tcBorders>
              <w:top w:val="nil"/>
              <w:left w:val="nil"/>
              <w:bottom w:val="nil"/>
              <w:right w:val="nil"/>
            </w:tcBorders>
            <w:shd w:val="clear" w:color="auto" w:fill="auto"/>
            <w:tcMar>
              <w:top w:w="15" w:type="dxa"/>
              <w:left w:w="15" w:type="dxa"/>
              <w:bottom w:w="0" w:type="dxa"/>
              <w:right w:w="15" w:type="dxa"/>
            </w:tcMar>
            <w:hideMark/>
          </w:tcPr>
          <w:p w:rsidR="000F1258" w:rsidRPr="008323FE" w:rsidRDefault="000F1258" w:rsidP="004B5E66">
            <w:pPr>
              <w:pStyle w:val="Titre1"/>
              <w:spacing w:before="0" w:line="240" w:lineRule="auto"/>
              <w:jc w:val="left"/>
              <w:rPr>
                <w:color w:val="7A003C"/>
                <w:sz w:val="20"/>
                <w:szCs w:val="20"/>
              </w:rPr>
            </w:pPr>
          </w:p>
        </w:tc>
        <w:tc>
          <w:tcPr>
            <w:tcW w:w="567" w:type="dxa"/>
            <w:tcBorders>
              <w:top w:val="nil"/>
              <w:left w:val="nil"/>
              <w:bottom w:val="nil"/>
              <w:right w:val="nil"/>
            </w:tcBorders>
          </w:tcPr>
          <w:p w:rsidR="000F1258" w:rsidRPr="000F1258" w:rsidRDefault="000F1258" w:rsidP="004B5E66">
            <w:pPr>
              <w:pStyle w:val="Titre1"/>
              <w:spacing w:before="0" w:line="240" w:lineRule="auto"/>
              <w:jc w:val="left"/>
              <w:rPr>
                <w:b w:val="0"/>
                <w:color w:val="262626" w:themeColor="text1" w:themeTint="D9"/>
                <w:sz w:val="20"/>
                <w:szCs w:val="20"/>
              </w:rPr>
            </w:pPr>
          </w:p>
        </w:tc>
        <w:tc>
          <w:tcPr>
            <w:tcW w:w="6946" w:type="dxa"/>
            <w:tcBorders>
              <w:top w:val="nil"/>
              <w:left w:val="nil"/>
              <w:bottom w:val="nil"/>
              <w:right w:val="nil"/>
            </w:tcBorders>
            <w:shd w:val="clear" w:color="auto" w:fill="auto"/>
            <w:tcMar>
              <w:top w:w="15" w:type="dxa"/>
              <w:left w:w="15" w:type="dxa"/>
              <w:bottom w:w="0" w:type="dxa"/>
              <w:right w:w="15" w:type="dxa"/>
            </w:tcMar>
            <w:hideMark/>
          </w:tcPr>
          <w:p w:rsidR="000F1258" w:rsidRPr="000F1258" w:rsidRDefault="000F1258" w:rsidP="004B5E66">
            <w:pPr>
              <w:pStyle w:val="Titre1"/>
              <w:spacing w:before="0" w:line="240" w:lineRule="auto"/>
              <w:jc w:val="left"/>
              <w:rPr>
                <w:b w:val="0"/>
                <w:color w:val="262626" w:themeColor="text1" w:themeTint="D9"/>
                <w:sz w:val="20"/>
                <w:szCs w:val="20"/>
              </w:rPr>
            </w:pPr>
          </w:p>
        </w:tc>
        <w:tc>
          <w:tcPr>
            <w:tcW w:w="283" w:type="dxa"/>
            <w:tcBorders>
              <w:top w:val="nil"/>
              <w:left w:val="nil"/>
              <w:bottom w:val="nil"/>
              <w:right w:val="nil"/>
            </w:tcBorders>
          </w:tcPr>
          <w:p w:rsidR="000F1258" w:rsidRDefault="000F1258" w:rsidP="004B5E66">
            <w:pPr>
              <w:pStyle w:val="Titre1"/>
              <w:spacing w:before="0" w:line="240" w:lineRule="auto"/>
              <w:jc w:val="left"/>
              <w:rPr>
                <w:color w:val="7A003C"/>
                <w:sz w:val="20"/>
                <w:szCs w:val="20"/>
              </w:rPr>
            </w:pPr>
          </w:p>
        </w:tc>
        <w:tc>
          <w:tcPr>
            <w:tcW w:w="567" w:type="dxa"/>
            <w:tcBorders>
              <w:top w:val="nil"/>
              <w:left w:val="nil"/>
              <w:bottom w:val="nil"/>
              <w:right w:val="nil"/>
            </w:tcBorders>
            <w:shd w:val="clear" w:color="auto" w:fill="auto"/>
            <w:tcMar>
              <w:top w:w="15" w:type="dxa"/>
              <w:left w:w="15" w:type="dxa"/>
              <w:bottom w:w="0" w:type="dxa"/>
              <w:right w:w="15" w:type="dxa"/>
            </w:tcMar>
            <w:hideMark/>
          </w:tcPr>
          <w:p w:rsidR="000F1258" w:rsidRDefault="000F1258" w:rsidP="004B5E66">
            <w:pPr>
              <w:pStyle w:val="Titre1"/>
              <w:spacing w:before="0" w:line="240" w:lineRule="auto"/>
              <w:jc w:val="left"/>
              <w:rPr>
                <w:color w:val="7A003C"/>
                <w:sz w:val="20"/>
                <w:szCs w:val="20"/>
              </w:rPr>
            </w:pPr>
          </w:p>
        </w:tc>
      </w:tr>
      <w:tr w:rsidR="000F1258" w:rsidRPr="008323FE" w:rsidTr="00A50DBB">
        <w:trPr>
          <w:trHeight w:val="340"/>
        </w:trPr>
        <w:tc>
          <w:tcPr>
            <w:tcW w:w="1291" w:type="dxa"/>
            <w:tcBorders>
              <w:top w:val="nil"/>
              <w:left w:val="nil"/>
              <w:bottom w:val="nil"/>
              <w:right w:val="nil"/>
            </w:tcBorders>
            <w:shd w:val="clear" w:color="auto" w:fill="auto"/>
            <w:tcMar>
              <w:top w:w="15" w:type="dxa"/>
              <w:left w:w="15" w:type="dxa"/>
              <w:bottom w:w="0" w:type="dxa"/>
              <w:right w:w="15" w:type="dxa"/>
            </w:tcMar>
            <w:hideMark/>
          </w:tcPr>
          <w:p w:rsidR="000F1258" w:rsidRPr="008323FE" w:rsidRDefault="000F1258" w:rsidP="004B5E66">
            <w:pPr>
              <w:pStyle w:val="Titre1"/>
              <w:spacing w:before="0" w:line="240" w:lineRule="auto"/>
              <w:jc w:val="left"/>
              <w:rPr>
                <w:color w:val="7A003C"/>
                <w:sz w:val="20"/>
                <w:szCs w:val="20"/>
              </w:rPr>
            </w:pPr>
            <w:r>
              <w:rPr>
                <w:color w:val="7A003C"/>
                <w:sz w:val="20"/>
                <w:szCs w:val="20"/>
              </w:rPr>
              <w:t>Partie 2.</w:t>
            </w:r>
          </w:p>
        </w:tc>
        <w:tc>
          <w:tcPr>
            <w:tcW w:w="7513" w:type="dxa"/>
            <w:gridSpan w:val="2"/>
            <w:tcBorders>
              <w:top w:val="nil"/>
              <w:left w:val="nil"/>
              <w:bottom w:val="nil"/>
              <w:right w:val="nil"/>
            </w:tcBorders>
          </w:tcPr>
          <w:p w:rsidR="000F1258" w:rsidRPr="008323FE" w:rsidRDefault="000F1258" w:rsidP="004B5E66">
            <w:pPr>
              <w:pStyle w:val="Titre1"/>
              <w:spacing w:before="0" w:line="240" w:lineRule="auto"/>
              <w:jc w:val="left"/>
              <w:rPr>
                <w:color w:val="7A003C"/>
                <w:sz w:val="20"/>
                <w:szCs w:val="20"/>
              </w:rPr>
            </w:pPr>
            <w:r>
              <w:rPr>
                <w:color w:val="7A003C"/>
                <w:sz w:val="20"/>
                <w:szCs w:val="20"/>
              </w:rPr>
              <w:t>Complémentaires : vers un rôle accru dans la régulation des dépenses</w:t>
            </w:r>
          </w:p>
        </w:tc>
        <w:tc>
          <w:tcPr>
            <w:tcW w:w="283" w:type="dxa"/>
            <w:tcBorders>
              <w:top w:val="nil"/>
              <w:left w:val="nil"/>
              <w:bottom w:val="nil"/>
              <w:right w:val="nil"/>
            </w:tcBorders>
          </w:tcPr>
          <w:p w:rsidR="000F1258" w:rsidRDefault="000F1258" w:rsidP="004B5E66">
            <w:pPr>
              <w:pStyle w:val="Titre1"/>
              <w:spacing w:before="0" w:line="240" w:lineRule="auto"/>
              <w:jc w:val="left"/>
              <w:rPr>
                <w:color w:val="7A003C"/>
                <w:sz w:val="20"/>
                <w:szCs w:val="20"/>
              </w:rPr>
            </w:pPr>
          </w:p>
        </w:tc>
        <w:tc>
          <w:tcPr>
            <w:tcW w:w="567" w:type="dxa"/>
            <w:tcBorders>
              <w:top w:val="nil"/>
              <w:left w:val="nil"/>
              <w:bottom w:val="nil"/>
              <w:right w:val="nil"/>
            </w:tcBorders>
            <w:shd w:val="clear" w:color="auto" w:fill="auto"/>
            <w:tcMar>
              <w:top w:w="15" w:type="dxa"/>
              <w:left w:w="15" w:type="dxa"/>
              <w:bottom w:w="0" w:type="dxa"/>
              <w:right w:w="15" w:type="dxa"/>
            </w:tcMar>
            <w:hideMark/>
          </w:tcPr>
          <w:p w:rsidR="000F1258" w:rsidRPr="008323FE" w:rsidRDefault="000F1258" w:rsidP="004B5E66">
            <w:pPr>
              <w:pStyle w:val="Titre1"/>
              <w:spacing w:before="0" w:line="240" w:lineRule="auto"/>
              <w:jc w:val="left"/>
              <w:rPr>
                <w:color w:val="7A003C"/>
                <w:sz w:val="20"/>
                <w:szCs w:val="20"/>
              </w:rPr>
            </w:pPr>
            <w:r>
              <w:rPr>
                <w:color w:val="7A003C"/>
                <w:sz w:val="20"/>
                <w:szCs w:val="20"/>
              </w:rPr>
              <w:t>1</w:t>
            </w:r>
            <w:r w:rsidR="00F53555">
              <w:rPr>
                <w:color w:val="7A003C"/>
                <w:sz w:val="20"/>
                <w:szCs w:val="20"/>
              </w:rPr>
              <w:t>9</w:t>
            </w:r>
          </w:p>
        </w:tc>
      </w:tr>
      <w:tr w:rsidR="000F1258" w:rsidRPr="008323FE" w:rsidTr="00A50DBB">
        <w:trPr>
          <w:trHeight w:val="408"/>
        </w:trPr>
        <w:tc>
          <w:tcPr>
            <w:tcW w:w="1291" w:type="dxa"/>
            <w:tcBorders>
              <w:top w:val="nil"/>
              <w:left w:val="nil"/>
              <w:bottom w:val="nil"/>
              <w:right w:val="nil"/>
            </w:tcBorders>
            <w:shd w:val="clear" w:color="auto" w:fill="auto"/>
            <w:tcMar>
              <w:top w:w="15" w:type="dxa"/>
              <w:left w:w="15" w:type="dxa"/>
              <w:bottom w:w="0" w:type="dxa"/>
              <w:right w:w="15" w:type="dxa"/>
            </w:tcMar>
            <w:hideMark/>
          </w:tcPr>
          <w:p w:rsidR="000F1258" w:rsidRPr="008323FE" w:rsidRDefault="000F1258" w:rsidP="004B5E66">
            <w:pPr>
              <w:pStyle w:val="Titre1"/>
              <w:spacing w:before="0" w:line="240" w:lineRule="auto"/>
              <w:jc w:val="left"/>
              <w:rPr>
                <w:color w:val="7A003C"/>
                <w:sz w:val="20"/>
                <w:szCs w:val="20"/>
              </w:rPr>
            </w:pPr>
          </w:p>
        </w:tc>
        <w:tc>
          <w:tcPr>
            <w:tcW w:w="567" w:type="dxa"/>
            <w:tcBorders>
              <w:top w:val="nil"/>
              <w:left w:val="nil"/>
              <w:bottom w:val="nil"/>
              <w:right w:val="nil"/>
            </w:tcBorders>
          </w:tcPr>
          <w:p w:rsidR="000F1258" w:rsidRPr="000F1258" w:rsidRDefault="000F1258" w:rsidP="004B5E66">
            <w:pPr>
              <w:pStyle w:val="Titre1"/>
              <w:spacing w:before="0" w:line="240" w:lineRule="auto"/>
              <w:jc w:val="left"/>
              <w:rPr>
                <w:b w:val="0"/>
                <w:color w:val="262626" w:themeColor="text1" w:themeTint="D9"/>
                <w:sz w:val="20"/>
                <w:szCs w:val="20"/>
              </w:rPr>
            </w:pPr>
            <w:r w:rsidRPr="000F1258">
              <w:rPr>
                <w:b w:val="0"/>
                <w:color w:val="262626" w:themeColor="text1" w:themeTint="D9"/>
                <w:sz w:val="20"/>
                <w:szCs w:val="20"/>
              </w:rPr>
              <w:t>[2.1]</w:t>
            </w:r>
          </w:p>
        </w:tc>
        <w:tc>
          <w:tcPr>
            <w:tcW w:w="6946" w:type="dxa"/>
            <w:tcBorders>
              <w:top w:val="nil"/>
              <w:left w:val="nil"/>
              <w:bottom w:val="nil"/>
              <w:right w:val="nil"/>
            </w:tcBorders>
            <w:shd w:val="clear" w:color="auto" w:fill="auto"/>
            <w:tcMar>
              <w:top w:w="15" w:type="dxa"/>
              <w:left w:w="15" w:type="dxa"/>
              <w:bottom w:w="0" w:type="dxa"/>
              <w:right w:w="15" w:type="dxa"/>
            </w:tcMar>
            <w:hideMark/>
          </w:tcPr>
          <w:p w:rsidR="000F1258" w:rsidRPr="000F1258" w:rsidRDefault="000F1258" w:rsidP="004B5E66">
            <w:pPr>
              <w:pStyle w:val="Titre1"/>
              <w:spacing w:before="0" w:line="240" w:lineRule="auto"/>
              <w:jc w:val="left"/>
              <w:rPr>
                <w:b w:val="0"/>
                <w:color w:val="262626" w:themeColor="text1" w:themeTint="D9"/>
                <w:sz w:val="20"/>
                <w:szCs w:val="20"/>
              </w:rPr>
            </w:pPr>
            <w:r w:rsidRPr="000F1258">
              <w:rPr>
                <w:b w:val="0"/>
                <w:color w:val="262626" w:themeColor="text1" w:themeTint="D9"/>
                <w:sz w:val="20"/>
                <w:szCs w:val="20"/>
              </w:rPr>
              <w:t>La part des OCAM dans le financement des soins progresse d’année en ann</w:t>
            </w:r>
            <w:r w:rsidR="00F251C3">
              <w:rPr>
                <w:b w:val="0"/>
                <w:color w:val="262626" w:themeColor="text1" w:themeTint="D9"/>
                <w:sz w:val="20"/>
                <w:szCs w:val="20"/>
              </w:rPr>
              <w:t>ée</w:t>
            </w:r>
          </w:p>
        </w:tc>
        <w:tc>
          <w:tcPr>
            <w:tcW w:w="283" w:type="dxa"/>
            <w:tcBorders>
              <w:top w:val="nil"/>
              <w:left w:val="nil"/>
              <w:bottom w:val="nil"/>
              <w:right w:val="nil"/>
            </w:tcBorders>
          </w:tcPr>
          <w:p w:rsidR="000F1258" w:rsidRPr="000F1258" w:rsidRDefault="000F1258" w:rsidP="004B5E66">
            <w:pPr>
              <w:pStyle w:val="Titre1"/>
              <w:spacing w:before="0" w:line="240" w:lineRule="auto"/>
              <w:jc w:val="left"/>
              <w:rPr>
                <w:b w:val="0"/>
                <w:color w:val="262626" w:themeColor="text1" w:themeTint="D9"/>
                <w:sz w:val="20"/>
                <w:szCs w:val="20"/>
              </w:rPr>
            </w:pPr>
          </w:p>
        </w:tc>
        <w:tc>
          <w:tcPr>
            <w:tcW w:w="567" w:type="dxa"/>
            <w:tcBorders>
              <w:top w:val="nil"/>
              <w:left w:val="nil"/>
              <w:bottom w:val="nil"/>
              <w:right w:val="nil"/>
            </w:tcBorders>
            <w:shd w:val="clear" w:color="auto" w:fill="auto"/>
            <w:tcMar>
              <w:top w:w="15" w:type="dxa"/>
              <w:left w:w="15" w:type="dxa"/>
              <w:bottom w:w="0" w:type="dxa"/>
              <w:right w:w="15" w:type="dxa"/>
            </w:tcMar>
            <w:hideMark/>
          </w:tcPr>
          <w:p w:rsidR="000F1258" w:rsidRPr="000F1258" w:rsidRDefault="00F53555" w:rsidP="004B5E66">
            <w:pPr>
              <w:pStyle w:val="Titre1"/>
              <w:spacing w:before="0" w:line="240" w:lineRule="auto"/>
              <w:jc w:val="left"/>
              <w:rPr>
                <w:b w:val="0"/>
                <w:color w:val="262626" w:themeColor="text1" w:themeTint="D9"/>
                <w:sz w:val="20"/>
                <w:szCs w:val="20"/>
              </w:rPr>
            </w:pPr>
            <w:r>
              <w:rPr>
                <w:b w:val="0"/>
                <w:color w:val="262626" w:themeColor="text1" w:themeTint="D9"/>
                <w:sz w:val="20"/>
                <w:szCs w:val="20"/>
              </w:rPr>
              <w:t>19</w:t>
            </w:r>
          </w:p>
        </w:tc>
      </w:tr>
      <w:tr w:rsidR="000F1258" w:rsidRPr="008323FE" w:rsidTr="00A50DBB">
        <w:trPr>
          <w:trHeight w:val="408"/>
        </w:trPr>
        <w:tc>
          <w:tcPr>
            <w:tcW w:w="1291" w:type="dxa"/>
            <w:tcBorders>
              <w:top w:val="nil"/>
              <w:left w:val="nil"/>
              <w:bottom w:val="nil"/>
              <w:right w:val="nil"/>
            </w:tcBorders>
            <w:shd w:val="clear" w:color="auto" w:fill="auto"/>
            <w:tcMar>
              <w:top w:w="15" w:type="dxa"/>
              <w:left w:w="15" w:type="dxa"/>
              <w:bottom w:w="0" w:type="dxa"/>
              <w:right w:w="15" w:type="dxa"/>
            </w:tcMar>
            <w:hideMark/>
          </w:tcPr>
          <w:p w:rsidR="000F1258" w:rsidRPr="008323FE" w:rsidRDefault="000F1258" w:rsidP="004B5E66">
            <w:pPr>
              <w:pStyle w:val="Titre1"/>
              <w:spacing w:before="0" w:line="240" w:lineRule="auto"/>
              <w:jc w:val="left"/>
              <w:rPr>
                <w:color w:val="7A003C"/>
                <w:sz w:val="20"/>
                <w:szCs w:val="20"/>
              </w:rPr>
            </w:pPr>
          </w:p>
        </w:tc>
        <w:tc>
          <w:tcPr>
            <w:tcW w:w="567" w:type="dxa"/>
            <w:tcBorders>
              <w:top w:val="nil"/>
              <w:left w:val="nil"/>
              <w:bottom w:val="nil"/>
              <w:right w:val="nil"/>
            </w:tcBorders>
          </w:tcPr>
          <w:p w:rsidR="000F1258" w:rsidRPr="000F1258" w:rsidRDefault="000F1258" w:rsidP="004B5E66">
            <w:pPr>
              <w:pStyle w:val="Titre1"/>
              <w:spacing w:before="0" w:line="240" w:lineRule="auto"/>
              <w:jc w:val="left"/>
              <w:rPr>
                <w:b w:val="0"/>
                <w:color w:val="262626" w:themeColor="text1" w:themeTint="D9"/>
                <w:sz w:val="20"/>
                <w:szCs w:val="20"/>
              </w:rPr>
            </w:pPr>
            <w:r w:rsidRPr="000F1258">
              <w:rPr>
                <w:b w:val="0"/>
                <w:color w:val="262626" w:themeColor="text1" w:themeTint="D9"/>
                <w:sz w:val="20"/>
                <w:szCs w:val="20"/>
              </w:rPr>
              <w:t>[2.2]</w:t>
            </w:r>
          </w:p>
        </w:tc>
        <w:tc>
          <w:tcPr>
            <w:tcW w:w="6946" w:type="dxa"/>
            <w:tcBorders>
              <w:top w:val="nil"/>
              <w:left w:val="nil"/>
              <w:bottom w:val="nil"/>
              <w:right w:val="nil"/>
            </w:tcBorders>
            <w:shd w:val="clear" w:color="auto" w:fill="auto"/>
            <w:tcMar>
              <w:top w:w="15" w:type="dxa"/>
              <w:left w:w="15" w:type="dxa"/>
              <w:bottom w:w="0" w:type="dxa"/>
              <w:right w:w="15" w:type="dxa"/>
            </w:tcMar>
            <w:hideMark/>
          </w:tcPr>
          <w:p w:rsidR="000F1258" w:rsidRPr="000F1258" w:rsidRDefault="00F251C3" w:rsidP="004B5E66">
            <w:pPr>
              <w:pStyle w:val="Titre1"/>
              <w:spacing w:before="0" w:line="240" w:lineRule="auto"/>
              <w:jc w:val="left"/>
              <w:rPr>
                <w:b w:val="0"/>
                <w:color w:val="262626" w:themeColor="text1" w:themeTint="D9"/>
                <w:sz w:val="20"/>
                <w:szCs w:val="20"/>
              </w:rPr>
            </w:pPr>
            <w:r>
              <w:rPr>
                <w:b w:val="0"/>
                <w:color w:val="262626" w:themeColor="text1" w:themeTint="D9"/>
                <w:sz w:val="20"/>
                <w:szCs w:val="20"/>
              </w:rPr>
              <w:t>L</w:t>
            </w:r>
            <w:r w:rsidR="000F1258" w:rsidRPr="000F1258">
              <w:rPr>
                <w:b w:val="0"/>
                <w:color w:val="262626" w:themeColor="text1" w:themeTint="D9"/>
                <w:sz w:val="20"/>
                <w:szCs w:val="20"/>
              </w:rPr>
              <w:t>eur rôle dans la régulation des dépenses doit donc se renforcer</w:t>
            </w:r>
          </w:p>
        </w:tc>
        <w:tc>
          <w:tcPr>
            <w:tcW w:w="283" w:type="dxa"/>
            <w:tcBorders>
              <w:top w:val="nil"/>
              <w:left w:val="nil"/>
              <w:bottom w:val="nil"/>
              <w:right w:val="nil"/>
            </w:tcBorders>
          </w:tcPr>
          <w:p w:rsidR="000F1258" w:rsidRPr="000F1258" w:rsidRDefault="000F1258" w:rsidP="004B5E66">
            <w:pPr>
              <w:pStyle w:val="Titre1"/>
              <w:spacing w:before="0" w:line="240" w:lineRule="auto"/>
              <w:jc w:val="left"/>
              <w:rPr>
                <w:b w:val="0"/>
                <w:color w:val="262626" w:themeColor="text1" w:themeTint="D9"/>
                <w:sz w:val="20"/>
                <w:szCs w:val="20"/>
              </w:rPr>
            </w:pPr>
          </w:p>
        </w:tc>
        <w:tc>
          <w:tcPr>
            <w:tcW w:w="567" w:type="dxa"/>
            <w:tcBorders>
              <w:top w:val="nil"/>
              <w:left w:val="nil"/>
              <w:bottom w:val="nil"/>
              <w:right w:val="nil"/>
            </w:tcBorders>
            <w:shd w:val="clear" w:color="auto" w:fill="auto"/>
            <w:tcMar>
              <w:top w:w="15" w:type="dxa"/>
              <w:left w:w="15" w:type="dxa"/>
              <w:bottom w:w="0" w:type="dxa"/>
              <w:right w:w="15" w:type="dxa"/>
            </w:tcMar>
            <w:hideMark/>
          </w:tcPr>
          <w:p w:rsidR="000F1258" w:rsidRPr="000F1258" w:rsidRDefault="00F53555" w:rsidP="004B5E66">
            <w:pPr>
              <w:pStyle w:val="Titre1"/>
              <w:spacing w:before="0" w:line="240" w:lineRule="auto"/>
              <w:jc w:val="left"/>
              <w:rPr>
                <w:b w:val="0"/>
                <w:color w:val="262626" w:themeColor="text1" w:themeTint="D9"/>
                <w:sz w:val="20"/>
                <w:szCs w:val="20"/>
              </w:rPr>
            </w:pPr>
            <w:r>
              <w:rPr>
                <w:b w:val="0"/>
                <w:color w:val="262626" w:themeColor="text1" w:themeTint="D9"/>
                <w:sz w:val="20"/>
                <w:szCs w:val="20"/>
              </w:rPr>
              <w:t>21</w:t>
            </w:r>
          </w:p>
        </w:tc>
      </w:tr>
      <w:tr w:rsidR="000F1258" w:rsidRPr="008323FE" w:rsidTr="00A50DBB">
        <w:trPr>
          <w:trHeight w:val="454"/>
        </w:trPr>
        <w:tc>
          <w:tcPr>
            <w:tcW w:w="1291" w:type="dxa"/>
            <w:tcBorders>
              <w:top w:val="nil"/>
              <w:left w:val="nil"/>
              <w:bottom w:val="nil"/>
              <w:right w:val="nil"/>
            </w:tcBorders>
            <w:shd w:val="clear" w:color="auto" w:fill="auto"/>
            <w:tcMar>
              <w:top w:w="15" w:type="dxa"/>
              <w:left w:w="15" w:type="dxa"/>
              <w:bottom w:w="0" w:type="dxa"/>
              <w:right w:w="15" w:type="dxa"/>
            </w:tcMar>
            <w:hideMark/>
          </w:tcPr>
          <w:p w:rsidR="000F1258" w:rsidRPr="008323FE" w:rsidRDefault="000F1258" w:rsidP="004B5E66">
            <w:pPr>
              <w:pStyle w:val="Titre1"/>
              <w:spacing w:before="0" w:line="240" w:lineRule="auto"/>
              <w:jc w:val="left"/>
              <w:rPr>
                <w:color w:val="7A003C"/>
                <w:sz w:val="20"/>
                <w:szCs w:val="20"/>
              </w:rPr>
            </w:pPr>
          </w:p>
        </w:tc>
        <w:tc>
          <w:tcPr>
            <w:tcW w:w="567" w:type="dxa"/>
            <w:tcBorders>
              <w:top w:val="nil"/>
              <w:left w:val="nil"/>
              <w:bottom w:val="nil"/>
              <w:right w:val="nil"/>
            </w:tcBorders>
          </w:tcPr>
          <w:p w:rsidR="000F1258" w:rsidRPr="000F1258" w:rsidRDefault="000F1258" w:rsidP="004B5E66">
            <w:pPr>
              <w:pStyle w:val="Titre1"/>
              <w:spacing w:before="0" w:line="240" w:lineRule="auto"/>
              <w:jc w:val="left"/>
              <w:rPr>
                <w:b w:val="0"/>
                <w:color w:val="262626" w:themeColor="text1" w:themeTint="D9"/>
                <w:sz w:val="20"/>
                <w:szCs w:val="20"/>
              </w:rPr>
            </w:pPr>
          </w:p>
        </w:tc>
        <w:tc>
          <w:tcPr>
            <w:tcW w:w="6946" w:type="dxa"/>
            <w:tcBorders>
              <w:top w:val="nil"/>
              <w:left w:val="nil"/>
              <w:bottom w:val="nil"/>
              <w:right w:val="nil"/>
            </w:tcBorders>
            <w:shd w:val="clear" w:color="auto" w:fill="auto"/>
            <w:tcMar>
              <w:top w:w="15" w:type="dxa"/>
              <w:left w:w="15" w:type="dxa"/>
              <w:bottom w:w="0" w:type="dxa"/>
              <w:right w:w="15" w:type="dxa"/>
            </w:tcMar>
            <w:hideMark/>
          </w:tcPr>
          <w:p w:rsidR="000F1258" w:rsidRPr="000F1258" w:rsidRDefault="000F1258" w:rsidP="004B5E66">
            <w:pPr>
              <w:pStyle w:val="Titre1"/>
              <w:spacing w:before="0" w:line="240" w:lineRule="auto"/>
              <w:jc w:val="left"/>
              <w:rPr>
                <w:b w:val="0"/>
                <w:color w:val="262626" w:themeColor="text1" w:themeTint="D9"/>
                <w:sz w:val="20"/>
                <w:szCs w:val="20"/>
              </w:rPr>
            </w:pPr>
          </w:p>
        </w:tc>
        <w:tc>
          <w:tcPr>
            <w:tcW w:w="283" w:type="dxa"/>
            <w:tcBorders>
              <w:top w:val="nil"/>
              <w:left w:val="nil"/>
              <w:bottom w:val="nil"/>
              <w:right w:val="nil"/>
            </w:tcBorders>
          </w:tcPr>
          <w:p w:rsidR="000F1258" w:rsidRPr="000F1258" w:rsidRDefault="000F1258" w:rsidP="004B5E66">
            <w:pPr>
              <w:pStyle w:val="Titre1"/>
              <w:spacing w:before="0" w:line="240" w:lineRule="auto"/>
              <w:jc w:val="left"/>
              <w:rPr>
                <w:b w:val="0"/>
                <w:color w:val="262626" w:themeColor="text1" w:themeTint="D9"/>
                <w:sz w:val="20"/>
                <w:szCs w:val="20"/>
              </w:rPr>
            </w:pPr>
          </w:p>
        </w:tc>
        <w:tc>
          <w:tcPr>
            <w:tcW w:w="567" w:type="dxa"/>
            <w:tcBorders>
              <w:top w:val="nil"/>
              <w:left w:val="nil"/>
              <w:bottom w:val="nil"/>
              <w:right w:val="nil"/>
            </w:tcBorders>
            <w:shd w:val="clear" w:color="auto" w:fill="auto"/>
            <w:tcMar>
              <w:top w:w="15" w:type="dxa"/>
              <w:left w:w="15" w:type="dxa"/>
              <w:bottom w:w="0" w:type="dxa"/>
              <w:right w:w="15" w:type="dxa"/>
            </w:tcMar>
            <w:hideMark/>
          </w:tcPr>
          <w:p w:rsidR="000F1258" w:rsidRPr="000F1258" w:rsidRDefault="000F1258" w:rsidP="004B5E66">
            <w:pPr>
              <w:pStyle w:val="Titre1"/>
              <w:spacing w:before="0" w:line="240" w:lineRule="auto"/>
              <w:jc w:val="left"/>
              <w:rPr>
                <w:b w:val="0"/>
                <w:color w:val="262626" w:themeColor="text1" w:themeTint="D9"/>
                <w:sz w:val="20"/>
                <w:szCs w:val="20"/>
              </w:rPr>
            </w:pPr>
          </w:p>
        </w:tc>
      </w:tr>
      <w:tr w:rsidR="000F1258" w:rsidRPr="008323FE" w:rsidTr="00A50DBB">
        <w:trPr>
          <w:trHeight w:val="340"/>
        </w:trPr>
        <w:tc>
          <w:tcPr>
            <w:tcW w:w="1291" w:type="dxa"/>
            <w:tcBorders>
              <w:top w:val="nil"/>
              <w:left w:val="nil"/>
              <w:bottom w:val="nil"/>
              <w:right w:val="nil"/>
            </w:tcBorders>
            <w:shd w:val="clear" w:color="auto" w:fill="auto"/>
            <w:tcMar>
              <w:top w:w="15" w:type="dxa"/>
              <w:left w:w="15" w:type="dxa"/>
              <w:bottom w:w="0" w:type="dxa"/>
              <w:right w:w="15" w:type="dxa"/>
            </w:tcMar>
            <w:hideMark/>
          </w:tcPr>
          <w:p w:rsidR="000F1258" w:rsidRPr="008323FE" w:rsidRDefault="000F1258" w:rsidP="004B5E66">
            <w:pPr>
              <w:pStyle w:val="Titre1"/>
              <w:spacing w:before="0" w:line="240" w:lineRule="auto"/>
              <w:jc w:val="left"/>
              <w:rPr>
                <w:color w:val="7A003C"/>
                <w:sz w:val="20"/>
                <w:szCs w:val="20"/>
              </w:rPr>
            </w:pPr>
            <w:r>
              <w:rPr>
                <w:color w:val="7A003C"/>
                <w:sz w:val="20"/>
                <w:szCs w:val="20"/>
              </w:rPr>
              <w:t>Partie 3.</w:t>
            </w:r>
          </w:p>
        </w:tc>
        <w:tc>
          <w:tcPr>
            <w:tcW w:w="7513" w:type="dxa"/>
            <w:gridSpan w:val="2"/>
            <w:tcBorders>
              <w:top w:val="nil"/>
              <w:left w:val="nil"/>
              <w:bottom w:val="nil"/>
              <w:right w:val="nil"/>
            </w:tcBorders>
          </w:tcPr>
          <w:p w:rsidR="000F1258" w:rsidRDefault="000F1258" w:rsidP="004B5E66">
            <w:pPr>
              <w:pStyle w:val="Titre1"/>
              <w:spacing w:before="0" w:line="240" w:lineRule="auto"/>
              <w:jc w:val="left"/>
              <w:rPr>
                <w:color w:val="7A003C"/>
                <w:sz w:val="20"/>
                <w:szCs w:val="20"/>
              </w:rPr>
            </w:pPr>
            <w:r>
              <w:rPr>
                <w:color w:val="7A003C"/>
                <w:sz w:val="20"/>
                <w:szCs w:val="20"/>
              </w:rPr>
              <w:t>Réseaux conventionnés : moyen efficace de régulation</w:t>
            </w:r>
          </w:p>
        </w:tc>
        <w:tc>
          <w:tcPr>
            <w:tcW w:w="283" w:type="dxa"/>
            <w:tcBorders>
              <w:top w:val="nil"/>
              <w:left w:val="nil"/>
              <w:bottom w:val="nil"/>
              <w:right w:val="nil"/>
            </w:tcBorders>
          </w:tcPr>
          <w:p w:rsidR="000F1258" w:rsidRDefault="000F1258" w:rsidP="004B5E66">
            <w:pPr>
              <w:pStyle w:val="Titre1"/>
              <w:spacing w:before="0" w:line="240" w:lineRule="auto"/>
              <w:jc w:val="left"/>
              <w:rPr>
                <w:color w:val="7A003C"/>
                <w:sz w:val="20"/>
                <w:szCs w:val="20"/>
              </w:rPr>
            </w:pPr>
          </w:p>
        </w:tc>
        <w:tc>
          <w:tcPr>
            <w:tcW w:w="567" w:type="dxa"/>
            <w:tcBorders>
              <w:top w:val="nil"/>
              <w:left w:val="nil"/>
              <w:bottom w:val="nil"/>
              <w:right w:val="nil"/>
            </w:tcBorders>
            <w:shd w:val="clear" w:color="auto" w:fill="auto"/>
            <w:tcMar>
              <w:top w:w="15" w:type="dxa"/>
              <w:left w:w="15" w:type="dxa"/>
              <w:bottom w:w="0" w:type="dxa"/>
              <w:right w:w="15" w:type="dxa"/>
            </w:tcMar>
            <w:hideMark/>
          </w:tcPr>
          <w:p w:rsidR="000F1258" w:rsidRDefault="00F53555" w:rsidP="004B5E66">
            <w:pPr>
              <w:pStyle w:val="Titre1"/>
              <w:spacing w:before="0" w:line="240" w:lineRule="auto"/>
              <w:jc w:val="left"/>
              <w:rPr>
                <w:color w:val="7A003C"/>
                <w:sz w:val="20"/>
                <w:szCs w:val="20"/>
              </w:rPr>
            </w:pPr>
            <w:r>
              <w:rPr>
                <w:color w:val="7A003C"/>
                <w:sz w:val="20"/>
                <w:szCs w:val="20"/>
              </w:rPr>
              <w:t>23</w:t>
            </w:r>
          </w:p>
        </w:tc>
      </w:tr>
      <w:tr w:rsidR="000F1258" w:rsidRPr="008323FE" w:rsidTr="00A50DBB">
        <w:trPr>
          <w:trHeight w:val="408"/>
        </w:trPr>
        <w:tc>
          <w:tcPr>
            <w:tcW w:w="1291" w:type="dxa"/>
            <w:tcBorders>
              <w:top w:val="nil"/>
              <w:left w:val="nil"/>
              <w:bottom w:val="nil"/>
              <w:right w:val="nil"/>
            </w:tcBorders>
            <w:shd w:val="clear" w:color="auto" w:fill="auto"/>
            <w:tcMar>
              <w:top w:w="15" w:type="dxa"/>
              <w:left w:w="15" w:type="dxa"/>
              <w:bottom w:w="0" w:type="dxa"/>
              <w:right w:w="15" w:type="dxa"/>
            </w:tcMar>
            <w:hideMark/>
          </w:tcPr>
          <w:p w:rsidR="000F1258" w:rsidRPr="000F1258" w:rsidRDefault="000F1258" w:rsidP="004B5E66">
            <w:pPr>
              <w:pStyle w:val="Titre1"/>
              <w:spacing w:before="0" w:line="240" w:lineRule="auto"/>
              <w:jc w:val="left"/>
              <w:rPr>
                <w:b w:val="0"/>
                <w:color w:val="262626" w:themeColor="text1" w:themeTint="D9"/>
                <w:sz w:val="20"/>
                <w:szCs w:val="20"/>
              </w:rPr>
            </w:pPr>
          </w:p>
        </w:tc>
        <w:tc>
          <w:tcPr>
            <w:tcW w:w="567" w:type="dxa"/>
            <w:tcBorders>
              <w:top w:val="nil"/>
              <w:left w:val="nil"/>
              <w:bottom w:val="nil"/>
              <w:right w:val="nil"/>
            </w:tcBorders>
          </w:tcPr>
          <w:p w:rsidR="000F1258" w:rsidRPr="000F1258" w:rsidRDefault="000F1258" w:rsidP="004B5E66">
            <w:pPr>
              <w:pStyle w:val="Titre1"/>
              <w:spacing w:before="0" w:line="240" w:lineRule="auto"/>
              <w:jc w:val="left"/>
              <w:rPr>
                <w:b w:val="0"/>
                <w:color w:val="262626" w:themeColor="text1" w:themeTint="D9"/>
                <w:sz w:val="20"/>
                <w:szCs w:val="20"/>
              </w:rPr>
            </w:pPr>
            <w:r w:rsidRPr="000F1258">
              <w:rPr>
                <w:b w:val="0"/>
                <w:color w:val="262626" w:themeColor="text1" w:themeTint="D9"/>
                <w:sz w:val="20"/>
                <w:szCs w:val="20"/>
              </w:rPr>
              <w:t>[3.1]</w:t>
            </w:r>
          </w:p>
        </w:tc>
        <w:tc>
          <w:tcPr>
            <w:tcW w:w="6946" w:type="dxa"/>
            <w:tcBorders>
              <w:top w:val="nil"/>
              <w:left w:val="nil"/>
              <w:bottom w:val="nil"/>
              <w:right w:val="nil"/>
            </w:tcBorders>
            <w:shd w:val="clear" w:color="auto" w:fill="auto"/>
            <w:tcMar>
              <w:top w:w="15" w:type="dxa"/>
              <w:left w:w="15" w:type="dxa"/>
              <w:bottom w:w="0" w:type="dxa"/>
              <w:right w:w="15" w:type="dxa"/>
            </w:tcMar>
            <w:hideMark/>
          </w:tcPr>
          <w:p w:rsidR="000F1258" w:rsidRPr="000F1258" w:rsidRDefault="000F1258" w:rsidP="004B5E66">
            <w:pPr>
              <w:pStyle w:val="Titre1"/>
              <w:spacing w:before="0" w:line="240" w:lineRule="auto"/>
              <w:jc w:val="left"/>
              <w:rPr>
                <w:b w:val="0"/>
                <w:color w:val="262626" w:themeColor="text1" w:themeTint="D9"/>
                <w:sz w:val="20"/>
                <w:szCs w:val="20"/>
              </w:rPr>
            </w:pPr>
            <w:r w:rsidRPr="000F1258">
              <w:rPr>
                <w:b w:val="0"/>
                <w:color w:val="262626" w:themeColor="text1" w:themeTint="D9"/>
                <w:sz w:val="20"/>
                <w:szCs w:val="20"/>
              </w:rPr>
              <w:t>Conventionnement : un moyen de réguler à la fois les prix et la qualité</w:t>
            </w:r>
          </w:p>
        </w:tc>
        <w:tc>
          <w:tcPr>
            <w:tcW w:w="283" w:type="dxa"/>
            <w:tcBorders>
              <w:top w:val="nil"/>
              <w:left w:val="nil"/>
              <w:bottom w:val="nil"/>
              <w:right w:val="nil"/>
            </w:tcBorders>
          </w:tcPr>
          <w:p w:rsidR="000F1258" w:rsidRPr="000F1258" w:rsidRDefault="000F1258" w:rsidP="004B5E66">
            <w:pPr>
              <w:pStyle w:val="Titre1"/>
              <w:spacing w:before="0" w:line="240" w:lineRule="auto"/>
              <w:jc w:val="left"/>
              <w:rPr>
                <w:b w:val="0"/>
                <w:color w:val="262626" w:themeColor="text1" w:themeTint="D9"/>
                <w:sz w:val="20"/>
                <w:szCs w:val="20"/>
              </w:rPr>
            </w:pPr>
          </w:p>
        </w:tc>
        <w:tc>
          <w:tcPr>
            <w:tcW w:w="567" w:type="dxa"/>
            <w:tcBorders>
              <w:top w:val="nil"/>
              <w:left w:val="nil"/>
              <w:bottom w:val="nil"/>
              <w:right w:val="nil"/>
            </w:tcBorders>
            <w:shd w:val="clear" w:color="auto" w:fill="auto"/>
            <w:tcMar>
              <w:top w:w="15" w:type="dxa"/>
              <w:left w:w="15" w:type="dxa"/>
              <w:bottom w:w="0" w:type="dxa"/>
              <w:right w:w="15" w:type="dxa"/>
            </w:tcMar>
            <w:hideMark/>
          </w:tcPr>
          <w:p w:rsidR="000F1258" w:rsidRPr="000F1258" w:rsidRDefault="00F53555" w:rsidP="004B5E66">
            <w:pPr>
              <w:pStyle w:val="Titre1"/>
              <w:spacing w:before="0" w:line="240" w:lineRule="auto"/>
              <w:jc w:val="left"/>
              <w:rPr>
                <w:b w:val="0"/>
                <w:color w:val="262626" w:themeColor="text1" w:themeTint="D9"/>
                <w:sz w:val="20"/>
                <w:szCs w:val="20"/>
              </w:rPr>
            </w:pPr>
            <w:r>
              <w:rPr>
                <w:b w:val="0"/>
                <w:color w:val="262626" w:themeColor="text1" w:themeTint="D9"/>
                <w:sz w:val="20"/>
                <w:szCs w:val="20"/>
              </w:rPr>
              <w:t>23</w:t>
            </w:r>
          </w:p>
        </w:tc>
      </w:tr>
      <w:tr w:rsidR="000F1258" w:rsidRPr="008323FE" w:rsidTr="00A50DBB">
        <w:trPr>
          <w:trHeight w:val="408"/>
        </w:trPr>
        <w:tc>
          <w:tcPr>
            <w:tcW w:w="1291" w:type="dxa"/>
            <w:tcBorders>
              <w:top w:val="nil"/>
              <w:left w:val="nil"/>
              <w:bottom w:val="nil"/>
              <w:right w:val="nil"/>
            </w:tcBorders>
            <w:shd w:val="clear" w:color="auto" w:fill="auto"/>
            <w:tcMar>
              <w:top w:w="15" w:type="dxa"/>
              <w:left w:w="15" w:type="dxa"/>
              <w:bottom w:w="0" w:type="dxa"/>
              <w:right w:w="15" w:type="dxa"/>
            </w:tcMar>
            <w:hideMark/>
          </w:tcPr>
          <w:p w:rsidR="000F1258" w:rsidRPr="000F1258" w:rsidRDefault="000F1258" w:rsidP="004B5E66">
            <w:pPr>
              <w:pStyle w:val="Titre1"/>
              <w:spacing w:before="0" w:line="240" w:lineRule="auto"/>
              <w:jc w:val="left"/>
              <w:rPr>
                <w:b w:val="0"/>
                <w:color w:val="262626" w:themeColor="text1" w:themeTint="D9"/>
                <w:sz w:val="20"/>
                <w:szCs w:val="20"/>
              </w:rPr>
            </w:pPr>
          </w:p>
        </w:tc>
        <w:tc>
          <w:tcPr>
            <w:tcW w:w="567" w:type="dxa"/>
            <w:tcBorders>
              <w:top w:val="nil"/>
              <w:left w:val="nil"/>
              <w:bottom w:val="nil"/>
              <w:right w:val="nil"/>
            </w:tcBorders>
          </w:tcPr>
          <w:p w:rsidR="000F1258" w:rsidRPr="000F1258" w:rsidRDefault="000F1258" w:rsidP="004B5E66">
            <w:pPr>
              <w:pStyle w:val="Titre1"/>
              <w:spacing w:before="0" w:line="240" w:lineRule="auto"/>
              <w:jc w:val="left"/>
              <w:rPr>
                <w:b w:val="0"/>
                <w:color w:val="262626" w:themeColor="text1" w:themeTint="D9"/>
                <w:sz w:val="20"/>
                <w:szCs w:val="20"/>
              </w:rPr>
            </w:pPr>
            <w:r w:rsidRPr="000F1258">
              <w:rPr>
                <w:b w:val="0"/>
                <w:color w:val="262626" w:themeColor="text1" w:themeTint="D9"/>
                <w:sz w:val="20"/>
                <w:szCs w:val="20"/>
              </w:rPr>
              <w:t>[3.2]</w:t>
            </w:r>
          </w:p>
        </w:tc>
        <w:tc>
          <w:tcPr>
            <w:tcW w:w="6946" w:type="dxa"/>
            <w:tcBorders>
              <w:top w:val="nil"/>
              <w:left w:val="nil"/>
              <w:bottom w:val="nil"/>
              <w:right w:val="nil"/>
            </w:tcBorders>
            <w:shd w:val="clear" w:color="auto" w:fill="auto"/>
            <w:tcMar>
              <w:top w:w="15" w:type="dxa"/>
              <w:left w:w="15" w:type="dxa"/>
              <w:bottom w:w="0" w:type="dxa"/>
              <w:right w:w="15" w:type="dxa"/>
            </w:tcMar>
            <w:hideMark/>
          </w:tcPr>
          <w:p w:rsidR="000F1258" w:rsidRPr="000F1258" w:rsidRDefault="000F1258" w:rsidP="004B5E66">
            <w:pPr>
              <w:pStyle w:val="Titre1"/>
              <w:spacing w:before="0" w:line="240" w:lineRule="auto"/>
              <w:jc w:val="left"/>
              <w:rPr>
                <w:b w:val="0"/>
                <w:color w:val="262626" w:themeColor="text1" w:themeTint="D9"/>
                <w:sz w:val="20"/>
                <w:szCs w:val="20"/>
              </w:rPr>
            </w:pPr>
            <w:r w:rsidRPr="000F1258">
              <w:rPr>
                <w:b w:val="0"/>
                <w:color w:val="262626" w:themeColor="text1" w:themeTint="D9"/>
                <w:sz w:val="20"/>
                <w:szCs w:val="20"/>
              </w:rPr>
              <w:t>Ce système de régulation a contribué à maîtriser les dépenses d’optique</w:t>
            </w:r>
          </w:p>
        </w:tc>
        <w:tc>
          <w:tcPr>
            <w:tcW w:w="283" w:type="dxa"/>
            <w:tcBorders>
              <w:top w:val="nil"/>
              <w:left w:val="nil"/>
              <w:bottom w:val="nil"/>
              <w:right w:val="nil"/>
            </w:tcBorders>
          </w:tcPr>
          <w:p w:rsidR="000F1258" w:rsidRPr="000F1258" w:rsidRDefault="000F1258" w:rsidP="004B5E66">
            <w:pPr>
              <w:pStyle w:val="Titre1"/>
              <w:spacing w:before="0" w:line="240" w:lineRule="auto"/>
              <w:jc w:val="left"/>
              <w:rPr>
                <w:b w:val="0"/>
                <w:color w:val="262626" w:themeColor="text1" w:themeTint="D9"/>
                <w:sz w:val="20"/>
                <w:szCs w:val="20"/>
              </w:rPr>
            </w:pPr>
          </w:p>
        </w:tc>
        <w:tc>
          <w:tcPr>
            <w:tcW w:w="567" w:type="dxa"/>
            <w:tcBorders>
              <w:top w:val="nil"/>
              <w:left w:val="nil"/>
              <w:bottom w:val="nil"/>
              <w:right w:val="nil"/>
            </w:tcBorders>
            <w:shd w:val="clear" w:color="auto" w:fill="auto"/>
            <w:tcMar>
              <w:top w:w="15" w:type="dxa"/>
              <w:left w:w="15" w:type="dxa"/>
              <w:bottom w:w="0" w:type="dxa"/>
              <w:right w:w="15" w:type="dxa"/>
            </w:tcMar>
            <w:hideMark/>
          </w:tcPr>
          <w:p w:rsidR="000F1258" w:rsidRPr="000F1258" w:rsidRDefault="00F53555" w:rsidP="004B5E66">
            <w:pPr>
              <w:pStyle w:val="Titre1"/>
              <w:spacing w:before="0" w:line="240" w:lineRule="auto"/>
              <w:jc w:val="left"/>
              <w:rPr>
                <w:b w:val="0"/>
                <w:color w:val="262626" w:themeColor="text1" w:themeTint="D9"/>
                <w:sz w:val="20"/>
                <w:szCs w:val="20"/>
              </w:rPr>
            </w:pPr>
            <w:r>
              <w:rPr>
                <w:b w:val="0"/>
                <w:color w:val="262626" w:themeColor="text1" w:themeTint="D9"/>
                <w:sz w:val="20"/>
                <w:szCs w:val="20"/>
              </w:rPr>
              <w:t>25</w:t>
            </w:r>
          </w:p>
        </w:tc>
      </w:tr>
      <w:tr w:rsidR="000F1258" w:rsidRPr="008323FE" w:rsidTr="00A50DBB">
        <w:trPr>
          <w:trHeight w:val="408"/>
        </w:trPr>
        <w:tc>
          <w:tcPr>
            <w:tcW w:w="1291" w:type="dxa"/>
            <w:tcBorders>
              <w:top w:val="nil"/>
              <w:left w:val="nil"/>
              <w:bottom w:val="nil"/>
              <w:right w:val="nil"/>
            </w:tcBorders>
            <w:shd w:val="clear" w:color="auto" w:fill="auto"/>
            <w:tcMar>
              <w:top w:w="15" w:type="dxa"/>
              <w:left w:w="15" w:type="dxa"/>
              <w:bottom w:w="0" w:type="dxa"/>
              <w:right w:w="15" w:type="dxa"/>
            </w:tcMar>
            <w:hideMark/>
          </w:tcPr>
          <w:p w:rsidR="000F1258" w:rsidRPr="000F1258" w:rsidRDefault="000F1258" w:rsidP="004B5E66">
            <w:pPr>
              <w:pStyle w:val="Titre1"/>
              <w:spacing w:before="0" w:line="240" w:lineRule="auto"/>
              <w:jc w:val="left"/>
              <w:rPr>
                <w:b w:val="0"/>
                <w:color w:val="262626" w:themeColor="text1" w:themeTint="D9"/>
                <w:sz w:val="20"/>
                <w:szCs w:val="20"/>
              </w:rPr>
            </w:pPr>
          </w:p>
        </w:tc>
        <w:tc>
          <w:tcPr>
            <w:tcW w:w="567" w:type="dxa"/>
            <w:tcBorders>
              <w:top w:val="nil"/>
              <w:left w:val="nil"/>
              <w:bottom w:val="nil"/>
              <w:right w:val="nil"/>
            </w:tcBorders>
          </w:tcPr>
          <w:p w:rsidR="000F1258" w:rsidRPr="000F1258" w:rsidRDefault="000F1258" w:rsidP="004B5E66">
            <w:pPr>
              <w:pStyle w:val="Titre1"/>
              <w:spacing w:before="0" w:line="240" w:lineRule="auto"/>
              <w:jc w:val="left"/>
              <w:rPr>
                <w:b w:val="0"/>
                <w:color w:val="262626" w:themeColor="text1" w:themeTint="D9"/>
                <w:sz w:val="20"/>
                <w:szCs w:val="20"/>
              </w:rPr>
            </w:pPr>
            <w:r w:rsidRPr="000F1258">
              <w:rPr>
                <w:b w:val="0"/>
                <w:color w:val="262626" w:themeColor="text1" w:themeTint="D9"/>
                <w:sz w:val="20"/>
                <w:szCs w:val="20"/>
              </w:rPr>
              <w:t>[3.3]</w:t>
            </w:r>
          </w:p>
        </w:tc>
        <w:tc>
          <w:tcPr>
            <w:tcW w:w="6946" w:type="dxa"/>
            <w:tcBorders>
              <w:top w:val="nil"/>
              <w:left w:val="nil"/>
              <w:bottom w:val="nil"/>
              <w:right w:val="nil"/>
            </w:tcBorders>
            <w:shd w:val="clear" w:color="auto" w:fill="auto"/>
            <w:tcMar>
              <w:top w:w="15" w:type="dxa"/>
              <w:left w:w="15" w:type="dxa"/>
              <w:bottom w:w="0" w:type="dxa"/>
              <w:right w:w="15" w:type="dxa"/>
            </w:tcMar>
            <w:hideMark/>
          </w:tcPr>
          <w:p w:rsidR="000F1258" w:rsidRPr="000F1258" w:rsidRDefault="006E6CDC" w:rsidP="004B5E66">
            <w:pPr>
              <w:pStyle w:val="Titre1"/>
              <w:spacing w:before="0" w:line="240" w:lineRule="auto"/>
              <w:jc w:val="left"/>
              <w:rPr>
                <w:b w:val="0"/>
                <w:color w:val="262626" w:themeColor="text1" w:themeTint="D9"/>
                <w:sz w:val="20"/>
                <w:szCs w:val="20"/>
              </w:rPr>
            </w:pPr>
            <w:r w:rsidRPr="000F1258">
              <w:rPr>
                <w:b w:val="0"/>
                <w:color w:val="262626" w:themeColor="text1" w:themeTint="D9"/>
                <w:sz w:val="20"/>
                <w:szCs w:val="20"/>
              </w:rPr>
              <w:t>Avantages / inconvénients du conventionnement pour les professionnels de santé</w:t>
            </w:r>
          </w:p>
        </w:tc>
        <w:tc>
          <w:tcPr>
            <w:tcW w:w="283" w:type="dxa"/>
            <w:tcBorders>
              <w:top w:val="nil"/>
              <w:left w:val="nil"/>
              <w:bottom w:val="nil"/>
              <w:right w:val="nil"/>
            </w:tcBorders>
          </w:tcPr>
          <w:p w:rsidR="000F1258" w:rsidRPr="000F1258" w:rsidRDefault="000F1258" w:rsidP="004B5E66">
            <w:pPr>
              <w:pStyle w:val="Titre1"/>
              <w:spacing w:before="0" w:line="240" w:lineRule="auto"/>
              <w:jc w:val="left"/>
              <w:rPr>
                <w:b w:val="0"/>
                <w:color w:val="262626" w:themeColor="text1" w:themeTint="D9"/>
                <w:sz w:val="20"/>
                <w:szCs w:val="20"/>
              </w:rPr>
            </w:pPr>
          </w:p>
        </w:tc>
        <w:tc>
          <w:tcPr>
            <w:tcW w:w="567" w:type="dxa"/>
            <w:tcBorders>
              <w:top w:val="nil"/>
              <w:left w:val="nil"/>
              <w:bottom w:val="nil"/>
              <w:right w:val="nil"/>
            </w:tcBorders>
            <w:shd w:val="clear" w:color="auto" w:fill="auto"/>
            <w:tcMar>
              <w:top w:w="15" w:type="dxa"/>
              <w:left w:w="15" w:type="dxa"/>
              <w:bottom w:w="0" w:type="dxa"/>
              <w:right w:w="15" w:type="dxa"/>
            </w:tcMar>
            <w:hideMark/>
          </w:tcPr>
          <w:p w:rsidR="000F1258" w:rsidRPr="000F1258" w:rsidRDefault="00F53555" w:rsidP="004B5E66">
            <w:pPr>
              <w:pStyle w:val="Titre1"/>
              <w:spacing w:before="0" w:line="240" w:lineRule="auto"/>
              <w:jc w:val="left"/>
              <w:rPr>
                <w:b w:val="0"/>
                <w:color w:val="262626" w:themeColor="text1" w:themeTint="D9"/>
                <w:sz w:val="20"/>
                <w:szCs w:val="20"/>
              </w:rPr>
            </w:pPr>
            <w:r>
              <w:rPr>
                <w:b w:val="0"/>
                <w:color w:val="262626" w:themeColor="text1" w:themeTint="D9"/>
                <w:sz w:val="20"/>
                <w:szCs w:val="20"/>
              </w:rPr>
              <w:t>26</w:t>
            </w:r>
          </w:p>
        </w:tc>
      </w:tr>
      <w:tr w:rsidR="000F1258" w:rsidRPr="008323FE" w:rsidTr="00A50DBB">
        <w:trPr>
          <w:trHeight w:val="408"/>
        </w:trPr>
        <w:tc>
          <w:tcPr>
            <w:tcW w:w="1291" w:type="dxa"/>
            <w:tcBorders>
              <w:top w:val="nil"/>
              <w:left w:val="nil"/>
              <w:bottom w:val="nil"/>
              <w:right w:val="nil"/>
            </w:tcBorders>
            <w:shd w:val="clear" w:color="auto" w:fill="auto"/>
            <w:tcMar>
              <w:top w:w="15" w:type="dxa"/>
              <w:left w:w="15" w:type="dxa"/>
              <w:bottom w:w="0" w:type="dxa"/>
              <w:right w:w="15" w:type="dxa"/>
            </w:tcMar>
            <w:hideMark/>
          </w:tcPr>
          <w:p w:rsidR="000F1258" w:rsidRPr="000F1258" w:rsidRDefault="000F1258" w:rsidP="004B5E66">
            <w:pPr>
              <w:pStyle w:val="Titre1"/>
              <w:spacing w:before="0" w:line="240" w:lineRule="auto"/>
              <w:jc w:val="left"/>
              <w:rPr>
                <w:b w:val="0"/>
                <w:color w:val="262626" w:themeColor="text1" w:themeTint="D9"/>
                <w:sz w:val="20"/>
                <w:szCs w:val="20"/>
              </w:rPr>
            </w:pPr>
          </w:p>
        </w:tc>
        <w:tc>
          <w:tcPr>
            <w:tcW w:w="567" w:type="dxa"/>
            <w:tcBorders>
              <w:top w:val="nil"/>
              <w:left w:val="nil"/>
              <w:bottom w:val="nil"/>
              <w:right w:val="nil"/>
            </w:tcBorders>
          </w:tcPr>
          <w:p w:rsidR="000F1258" w:rsidRPr="000F1258" w:rsidRDefault="000F1258" w:rsidP="004B5E66">
            <w:pPr>
              <w:pStyle w:val="Titre1"/>
              <w:spacing w:before="0" w:line="240" w:lineRule="auto"/>
              <w:jc w:val="left"/>
              <w:rPr>
                <w:b w:val="0"/>
                <w:color w:val="262626" w:themeColor="text1" w:themeTint="D9"/>
                <w:sz w:val="20"/>
                <w:szCs w:val="20"/>
              </w:rPr>
            </w:pPr>
            <w:r w:rsidRPr="000F1258">
              <w:rPr>
                <w:b w:val="0"/>
                <w:color w:val="262626" w:themeColor="text1" w:themeTint="D9"/>
                <w:sz w:val="20"/>
                <w:szCs w:val="20"/>
              </w:rPr>
              <w:t>[3.4]</w:t>
            </w:r>
          </w:p>
        </w:tc>
        <w:tc>
          <w:tcPr>
            <w:tcW w:w="6946" w:type="dxa"/>
            <w:tcBorders>
              <w:top w:val="nil"/>
              <w:left w:val="nil"/>
              <w:bottom w:val="nil"/>
              <w:right w:val="nil"/>
            </w:tcBorders>
            <w:shd w:val="clear" w:color="auto" w:fill="auto"/>
            <w:tcMar>
              <w:top w:w="15" w:type="dxa"/>
              <w:left w:w="15" w:type="dxa"/>
              <w:bottom w:w="0" w:type="dxa"/>
              <w:right w:w="15" w:type="dxa"/>
            </w:tcMar>
            <w:hideMark/>
          </w:tcPr>
          <w:p w:rsidR="000F1258" w:rsidRPr="000F1258" w:rsidRDefault="006E6CDC" w:rsidP="004B5E66">
            <w:pPr>
              <w:pStyle w:val="Titre1"/>
              <w:spacing w:before="0" w:line="240" w:lineRule="auto"/>
              <w:jc w:val="left"/>
              <w:rPr>
                <w:b w:val="0"/>
                <w:color w:val="262626" w:themeColor="text1" w:themeTint="D9"/>
                <w:sz w:val="20"/>
                <w:szCs w:val="20"/>
              </w:rPr>
            </w:pPr>
            <w:r w:rsidRPr="000F1258">
              <w:rPr>
                <w:b w:val="0"/>
                <w:color w:val="262626" w:themeColor="text1" w:themeTint="D9"/>
                <w:sz w:val="20"/>
                <w:szCs w:val="20"/>
              </w:rPr>
              <w:t>Le système présente de multiples avantages pour les assurés</w:t>
            </w:r>
          </w:p>
        </w:tc>
        <w:tc>
          <w:tcPr>
            <w:tcW w:w="283" w:type="dxa"/>
            <w:tcBorders>
              <w:top w:val="nil"/>
              <w:left w:val="nil"/>
              <w:bottom w:val="nil"/>
              <w:right w:val="nil"/>
            </w:tcBorders>
          </w:tcPr>
          <w:p w:rsidR="000F1258" w:rsidRPr="000F1258" w:rsidRDefault="000F1258" w:rsidP="004B5E66">
            <w:pPr>
              <w:pStyle w:val="Titre1"/>
              <w:spacing w:before="0" w:line="240" w:lineRule="auto"/>
              <w:jc w:val="left"/>
              <w:rPr>
                <w:b w:val="0"/>
                <w:color w:val="262626" w:themeColor="text1" w:themeTint="D9"/>
                <w:sz w:val="20"/>
                <w:szCs w:val="20"/>
              </w:rPr>
            </w:pPr>
          </w:p>
        </w:tc>
        <w:tc>
          <w:tcPr>
            <w:tcW w:w="567" w:type="dxa"/>
            <w:tcBorders>
              <w:top w:val="nil"/>
              <w:left w:val="nil"/>
              <w:bottom w:val="nil"/>
              <w:right w:val="nil"/>
            </w:tcBorders>
            <w:shd w:val="clear" w:color="auto" w:fill="auto"/>
            <w:tcMar>
              <w:top w:w="15" w:type="dxa"/>
              <w:left w:w="15" w:type="dxa"/>
              <w:bottom w:w="0" w:type="dxa"/>
              <w:right w:w="15" w:type="dxa"/>
            </w:tcMar>
            <w:hideMark/>
          </w:tcPr>
          <w:p w:rsidR="000F1258" w:rsidRPr="000F1258" w:rsidRDefault="00F53555" w:rsidP="004B5E66">
            <w:pPr>
              <w:pStyle w:val="Titre1"/>
              <w:spacing w:before="0" w:line="240" w:lineRule="auto"/>
              <w:jc w:val="left"/>
              <w:rPr>
                <w:b w:val="0"/>
                <w:color w:val="262626" w:themeColor="text1" w:themeTint="D9"/>
                <w:sz w:val="20"/>
                <w:szCs w:val="20"/>
              </w:rPr>
            </w:pPr>
            <w:r>
              <w:rPr>
                <w:b w:val="0"/>
                <w:color w:val="262626" w:themeColor="text1" w:themeTint="D9"/>
                <w:sz w:val="20"/>
                <w:szCs w:val="20"/>
              </w:rPr>
              <w:t>2</w:t>
            </w:r>
            <w:r w:rsidR="006E6CDC">
              <w:rPr>
                <w:b w:val="0"/>
                <w:color w:val="262626" w:themeColor="text1" w:themeTint="D9"/>
                <w:sz w:val="20"/>
                <w:szCs w:val="20"/>
              </w:rPr>
              <w:t>9</w:t>
            </w:r>
          </w:p>
        </w:tc>
      </w:tr>
    </w:tbl>
    <w:p w:rsidR="000F1258" w:rsidRDefault="000F1258" w:rsidP="000F1258"/>
    <w:p w:rsidR="000F1258" w:rsidRPr="000F1258" w:rsidRDefault="000F1258" w:rsidP="000F1258"/>
    <w:p w:rsidR="003B0A67" w:rsidRDefault="003B0A67" w:rsidP="003B0A67">
      <w:pPr>
        <w:pStyle w:val="Titre1"/>
        <w:jc w:val="center"/>
        <w:rPr>
          <w:color w:val="632423" w:themeColor="accent2" w:themeShade="80"/>
          <w:sz w:val="21"/>
          <w:szCs w:val="21"/>
        </w:rPr>
      </w:pPr>
    </w:p>
    <w:p w:rsidR="00787246" w:rsidRPr="00787246" w:rsidRDefault="00787246" w:rsidP="00787246"/>
    <w:p w:rsidR="00415E08" w:rsidRDefault="00415E08" w:rsidP="008323FE">
      <w:pPr>
        <w:rPr>
          <w:rFonts w:eastAsiaTheme="majorEastAsia" w:cstheme="majorBidi"/>
          <w:b/>
          <w:bCs/>
          <w:color w:val="632423" w:themeColor="accent2" w:themeShade="80"/>
          <w:szCs w:val="21"/>
        </w:rPr>
      </w:pPr>
    </w:p>
    <w:p w:rsidR="004B5E66" w:rsidRDefault="004B5E66" w:rsidP="008323FE"/>
    <w:p w:rsidR="008323FE" w:rsidRDefault="00F86138" w:rsidP="008323FE">
      <w:r>
        <w:rPr>
          <w:noProof/>
          <w:lang w:eastAsia="fr-FR"/>
        </w:rPr>
        <w:lastRenderedPageBreak/>
        <w:pict>
          <v:rect id="_x0000_s1036" style="position:absolute;left:0;text-align:left;margin-left:-52.4pt;margin-top:16.85pt;width:600pt;height:78.75pt;z-index:251667456;v-text-anchor:middle" fillcolor="#f2f2f2 [3052]" strokecolor="#272727 [2749]" strokeweight="1pt">
            <v:stroke dashstyle="1 1" endcap="round"/>
            <v:textbox style="mso-next-textbox:#_x0000_s1036">
              <w:txbxContent>
                <w:p w:rsidR="00144D6D" w:rsidRPr="00987897" w:rsidRDefault="00144D6D" w:rsidP="00987897">
                  <w:pPr>
                    <w:tabs>
                      <w:tab w:val="left" w:pos="3261"/>
                      <w:tab w:val="left" w:pos="6237"/>
                    </w:tabs>
                    <w:spacing w:after="0" w:line="240" w:lineRule="auto"/>
                    <w:ind w:left="1276"/>
                    <w:rPr>
                      <w:b/>
                      <w:color w:val="262626" w:themeColor="text1" w:themeTint="D9"/>
                      <w:sz w:val="18"/>
                      <w:szCs w:val="18"/>
                    </w:rPr>
                  </w:pPr>
                  <w:r w:rsidRPr="00987897">
                    <w:rPr>
                      <w:b/>
                      <w:color w:val="262626" w:themeColor="text1" w:themeTint="D9"/>
                      <w:sz w:val="18"/>
                      <w:szCs w:val="18"/>
                    </w:rPr>
                    <w:t>Partie 0</w:t>
                  </w:r>
                </w:p>
                <w:p w:rsidR="00144D6D" w:rsidRPr="00D24EF4" w:rsidRDefault="00144D6D" w:rsidP="00D24EF4">
                  <w:pPr>
                    <w:tabs>
                      <w:tab w:val="left" w:pos="3261"/>
                      <w:tab w:val="left" w:pos="6237"/>
                    </w:tabs>
                    <w:spacing w:after="0" w:line="240" w:lineRule="auto"/>
                    <w:ind w:left="1276"/>
                    <w:rPr>
                      <w:b/>
                      <w:color w:val="7A003C"/>
                      <w:sz w:val="52"/>
                      <w:szCs w:val="52"/>
                    </w:rPr>
                  </w:pPr>
                  <w:r>
                    <w:rPr>
                      <w:b/>
                      <w:color w:val="7A003C"/>
                      <w:sz w:val="52"/>
                      <w:szCs w:val="52"/>
                    </w:rPr>
                    <w:t>Synthèse opérationnelle</w:t>
                  </w:r>
                </w:p>
              </w:txbxContent>
            </v:textbox>
          </v:rect>
        </w:pict>
      </w:r>
    </w:p>
    <w:p w:rsidR="008323FE" w:rsidRDefault="008323FE" w:rsidP="008323FE"/>
    <w:p w:rsidR="008323FE" w:rsidRDefault="008323FE" w:rsidP="008323FE"/>
    <w:p w:rsidR="008323FE" w:rsidRPr="008323FE" w:rsidRDefault="008323FE" w:rsidP="008323FE"/>
    <w:p w:rsidR="0073700C" w:rsidRDefault="00F86138" w:rsidP="0073700C">
      <w:r>
        <w:rPr>
          <w:noProof/>
          <w:lang w:eastAsia="fr-FR"/>
        </w:rPr>
        <w:pict>
          <v:rect id="_x0000_s1037" style="position:absolute;left:0;text-align:left;margin-left:17.85pt;margin-top:22.5pt;width:411.8pt;height:92.65pt;z-index:251668480;v-text-anchor:middle" fillcolor="#f2f2f2 [3052]" strokecolor="#bfbfbf [2412]">
            <v:textbox style="mso-next-textbox:#_x0000_s1037">
              <w:txbxContent>
                <w:p w:rsidR="00144D6D" w:rsidRPr="008323FE" w:rsidRDefault="00144D6D" w:rsidP="002F269C">
                  <w:pPr>
                    <w:pStyle w:val="Textedebase"/>
                    <w:spacing w:after="120"/>
                    <w:ind w:left="0" w:right="96"/>
                    <w:jc w:val="left"/>
                    <w:rPr>
                      <w:rStyle w:val="grisclair"/>
                      <w:b/>
                    </w:rPr>
                  </w:pPr>
                  <w:r w:rsidRPr="008323FE">
                    <w:rPr>
                      <w:b/>
                    </w:rPr>
                    <w:t>Le</w:t>
                  </w:r>
                  <w:r w:rsidRPr="008323FE">
                    <w:rPr>
                      <w:rStyle w:val="grisclair"/>
                      <w:b/>
                    </w:rPr>
                    <w:t xml:space="preserve"> rôle des complémentaires </w:t>
                  </w:r>
                  <w:proofErr w:type="gramStart"/>
                  <w:r w:rsidRPr="008323FE">
                    <w:rPr>
                      <w:rStyle w:val="grisclair"/>
                      <w:b/>
                    </w:rPr>
                    <w:t>santé</w:t>
                  </w:r>
                  <w:proofErr w:type="gramEnd"/>
                  <w:r w:rsidRPr="008323FE">
                    <w:rPr>
                      <w:rStyle w:val="grisclair"/>
                      <w:b/>
                    </w:rPr>
                    <w:t xml:space="preserve"> est</w:t>
                  </w:r>
                  <w:r>
                    <w:rPr>
                      <w:rStyle w:val="grisclair"/>
                      <w:b/>
                    </w:rPr>
                    <w:t>,</w:t>
                  </w:r>
                  <w:r w:rsidRPr="008323FE">
                    <w:rPr>
                      <w:rStyle w:val="grisclair"/>
                      <w:b/>
                    </w:rPr>
                    <w:t xml:space="preserve"> selon nous</w:t>
                  </w:r>
                  <w:r>
                    <w:rPr>
                      <w:rStyle w:val="grisclair"/>
                      <w:b/>
                    </w:rPr>
                    <w:t>,</w:t>
                  </w:r>
                  <w:r w:rsidRPr="008323FE">
                    <w:rPr>
                      <w:rStyle w:val="grisclair"/>
                      <w:b/>
                    </w:rPr>
                    <w:t xml:space="preserve"> amené à </w:t>
                  </w:r>
                  <w:r>
                    <w:rPr>
                      <w:rStyle w:val="grisclair"/>
                      <w:b/>
                    </w:rPr>
                    <w:t>se développer</w:t>
                  </w:r>
                  <w:r w:rsidRPr="008323FE">
                    <w:rPr>
                      <w:rStyle w:val="grisclair"/>
                      <w:b/>
                    </w:rPr>
                    <w:t xml:space="preserve"> pour :</w:t>
                  </w:r>
                </w:p>
                <w:p w:rsidR="00144D6D" w:rsidRPr="008323FE" w:rsidRDefault="00144D6D" w:rsidP="00C020D6">
                  <w:pPr>
                    <w:pStyle w:val="Textedebase"/>
                    <w:numPr>
                      <w:ilvl w:val="0"/>
                      <w:numId w:val="9"/>
                    </w:numPr>
                    <w:spacing w:after="120"/>
                    <w:ind w:left="567" w:right="96"/>
                    <w:jc w:val="left"/>
                    <w:rPr>
                      <w:rStyle w:val="grisclair"/>
                      <w:b/>
                    </w:rPr>
                  </w:pPr>
                  <w:r w:rsidRPr="008323FE">
                    <w:rPr>
                      <w:rStyle w:val="grisclair"/>
                      <w:b/>
                    </w:rPr>
                    <w:t>Réguler le prix de certains soins et biens médicaux dont elles assurent le financement</w:t>
                  </w:r>
                  <w:r>
                    <w:rPr>
                      <w:rStyle w:val="grisclair"/>
                      <w:b/>
                    </w:rPr>
                    <w:t> ;</w:t>
                  </w:r>
                </w:p>
                <w:p w:rsidR="00144D6D" w:rsidRPr="008323FE" w:rsidRDefault="00144D6D" w:rsidP="00C020D6">
                  <w:pPr>
                    <w:pStyle w:val="Textedebase"/>
                    <w:numPr>
                      <w:ilvl w:val="0"/>
                      <w:numId w:val="9"/>
                    </w:numPr>
                    <w:spacing w:after="120"/>
                    <w:ind w:left="567" w:right="96"/>
                    <w:jc w:val="left"/>
                    <w:rPr>
                      <w:rStyle w:val="grisclair"/>
                      <w:b/>
                    </w:rPr>
                  </w:pPr>
                  <w:r>
                    <w:rPr>
                      <w:rStyle w:val="grisclair"/>
                      <w:b/>
                    </w:rPr>
                    <w:t>Rendre plus efficient</w:t>
                  </w:r>
                  <w:r w:rsidRPr="008323FE">
                    <w:rPr>
                      <w:rStyle w:val="grisclair"/>
                      <w:b/>
                    </w:rPr>
                    <w:t>e la consommation de ces soins et biens médicaux</w:t>
                  </w:r>
                  <w:r>
                    <w:rPr>
                      <w:rStyle w:val="grisclair"/>
                      <w:b/>
                    </w:rPr>
                    <w:t> ;</w:t>
                  </w:r>
                </w:p>
                <w:p w:rsidR="00144D6D" w:rsidRPr="008323FE" w:rsidRDefault="00144D6D" w:rsidP="00C020D6">
                  <w:pPr>
                    <w:pStyle w:val="Textedebase"/>
                    <w:numPr>
                      <w:ilvl w:val="0"/>
                      <w:numId w:val="9"/>
                    </w:numPr>
                    <w:spacing w:after="0"/>
                    <w:ind w:left="567" w:right="96"/>
                    <w:jc w:val="left"/>
                    <w:rPr>
                      <w:b/>
                    </w:rPr>
                  </w:pPr>
                  <w:r>
                    <w:rPr>
                      <w:rStyle w:val="grisclair"/>
                      <w:b/>
                    </w:rPr>
                    <w:t>Veiller à la qualité de ces soins et biens médicaux.</w:t>
                  </w:r>
                </w:p>
              </w:txbxContent>
            </v:textbox>
          </v:rect>
        </w:pict>
      </w:r>
    </w:p>
    <w:p w:rsidR="0073700C" w:rsidRDefault="0073700C" w:rsidP="0073700C"/>
    <w:p w:rsidR="008323FE" w:rsidRDefault="008323FE" w:rsidP="0073700C"/>
    <w:p w:rsidR="008323FE" w:rsidRDefault="008323FE" w:rsidP="0073700C"/>
    <w:p w:rsidR="008323FE" w:rsidRDefault="008323FE" w:rsidP="0073700C"/>
    <w:p w:rsidR="00511DC1" w:rsidRPr="00511DC1" w:rsidRDefault="00511DC1" w:rsidP="00511DC1"/>
    <w:p w:rsidR="0047079E" w:rsidRPr="00221249" w:rsidRDefault="002F1A0D" w:rsidP="00F251C3">
      <w:pPr>
        <w:pStyle w:val="Textedebase"/>
        <w:numPr>
          <w:ilvl w:val="0"/>
          <w:numId w:val="6"/>
        </w:numPr>
        <w:spacing w:line="240" w:lineRule="auto"/>
        <w:ind w:left="426" w:right="848" w:hanging="357"/>
        <w:rPr>
          <w:b/>
          <w:i/>
          <w:color w:val="17365D" w:themeColor="text2" w:themeShade="BF"/>
          <w:sz w:val="22"/>
          <w:szCs w:val="22"/>
        </w:rPr>
      </w:pPr>
      <w:r w:rsidRPr="00221249">
        <w:rPr>
          <w:b/>
          <w:i/>
          <w:color w:val="17365D" w:themeColor="text2" w:themeShade="BF"/>
          <w:sz w:val="22"/>
          <w:szCs w:val="22"/>
        </w:rPr>
        <w:t>La croissance</w:t>
      </w:r>
      <w:r w:rsidR="0047079E" w:rsidRPr="00221249">
        <w:rPr>
          <w:b/>
          <w:i/>
          <w:color w:val="17365D" w:themeColor="text2" w:themeShade="BF"/>
          <w:sz w:val="22"/>
          <w:szCs w:val="22"/>
        </w:rPr>
        <w:t xml:space="preserve"> des dépenses de santé pose la question de leur financement e</w:t>
      </w:r>
      <w:r w:rsidR="006971F2" w:rsidRPr="00221249">
        <w:rPr>
          <w:b/>
          <w:i/>
          <w:color w:val="17365D" w:themeColor="text2" w:themeShade="BF"/>
          <w:sz w:val="22"/>
          <w:szCs w:val="22"/>
        </w:rPr>
        <w:t>t de leurs modes de régulation</w:t>
      </w:r>
    </w:p>
    <w:p w:rsidR="00221249" w:rsidRDefault="00221249" w:rsidP="00221249">
      <w:pPr>
        <w:pStyle w:val="Textedebase"/>
        <w:ind w:left="709"/>
        <w:jc w:val="left"/>
        <w:sectPr w:rsidR="00221249" w:rsidSect="0003685B">
          <w:type w:val="continuous"/>
          <w:pgSz w:w="11906" w:h="16838"/>
          <w:pgMar w:top="1928" w:right="1418" w:bottom="1135" w:left="993" w:header="709" w:footer="397" w:gutter="0"/>
          <w:cols w:space="708"/>
          <w:titlePg/>
          <w:docGrid w:linePitch="360"/>
        </w:sectPr>
      </w:pPr>
    </w:p>
    <w:p w:rsidR="00415E08" w:rsidRPr="00FA6EF4" w:rsidRDefault="002F1A0D" w:rsidP="00415E08">
      <w:pPr>
        <w:pStyle w:val="Textedebase"/>
        <w:spacing w:line="240" w:lineRule="auto"/>
        <w:ind w:left="0" w:right="142"/>
        <w:jc w:val="left"/>
      </w:pPr>
      <w:r w:rsidRPr="00FA6EF4">
        <w:lastRenderedPageBreak/>
        <w:t>Les</w:t>
      </w:r>
      <w:r w:rsidR="0047079E" w:rsidRPr="00FA6EF4">
        <w:t xml:space="preserve"> dépense</w:t>
      </w:r>
      <w:r w:rsidRPr="00FA6EF4">
        <w:t>s</w:t>
      </w:r>
      <w:r w:rsidR="0047079E" w:rsidRPr="00FA6EF4">
        <w:t xml:space="preserve"> de santé augmente</w:t>
      </w:r>
      <w:r w:rsidRPr="00FA6EF4">
        <w:t>nt</w:t>
      </w:r>
      <w:r w:rsidR="0047079E" w:rsidRPr="00FA6EF4">
        <w:t xml:space="preserve"> de manière structurelle et à un rythme supérieur à celui de la croissance économique. Elles représentent actuellement plus d’un dixième du PIB français et pourraient avoisiner un cinquième du PIB en 2050. </w:t>
      </w:r>
      <w:r w:rsidR="00511DC1" w:rsidRPr="00FA6EF4">
        <w:t xml:space="preserve">Ces </w:t>
      </w:r>
      <w:r w:rsidR="006971F2" w:rsidRPr="00FA6EF4">
        <w:t>dépenses</w:t>
      </w:r>
      <w:r w:rsidR="00511DC1" w:rsidRPr="00FA6EF4">
        <w:t xml:space="preserve"> sont supportées pour l’essentiel par la collectivité</w:t>
      </w:r>
      <w:r w:rsidR="006971F2" w:rsidRPr="00FA6EF4">
        <w:t xml:space="preserve"> </w:t>
      </w:r>
      <w:r w:rsidR="00511DC1" w:rsidRPr="00FA6EF4">
        <w:rPr>
          <w:i/>
        </w:rPr>
        <w:t xml:space="preserve">via </w:t>
      </w:r>
      <w:r w:rsidR="00511DC1" w:rsidRPr="00FA6EF4">
        <w:t>l</w:t>
      </w:r>
      <w:r w:rsidR="006971F2" w:rsidRPr="00FA6EF4">
        <w:t>’</w:t>
      </w:r>
      <w:r w:rsidR="004759CA">
        <w:t>Assurance maladie</w:t>
      </w:r>
      <w:r w:rsidRPr="00FA6EF4">
        <w:t xml:space="preserve">. </w:t>
      </w:r>
    </w:p>
    <w:p w:rsidR="00221249" w:rsidRPr="00FA6EF4" w:rsidRDefault="00511DC1" w:rsidP="00415E08">
      <w:pPr>
        <w:pStyle w:val="Textedebase"/>
        <w:spacing w:line="240" w:lineRule="auto"/>
        <w:ind w:left="0" w:right="142"/>
        <w:jc w:val="left"/>
        <w:sectPr w:rsidR="00221249" w:rsidRPr="00FA6EF4" w:rsidSect="00221249">
          <w:type w:val="continuous"/>
          <w:pgSz w:w="11906" w:h="16838"/>
          <w:pgMar w:top="1928" w:right="1418" w:bottom="1135" w:left="1418" w:header="709" w:footer="709" w:gutter="0"/>
          <w:cols w:num="2" w:space="286"/>
          <w:docGrid w:linePitch="360"/>
        </w:sectPr>
      </w:pPr>
      <w:r w:rsidRPr="00FA6EF4">
        <w:lastRenderedPageBreak/>
        <w:t>Or, l’</w:t>
      </w:r>
      <w:r w:rsidR="004759CA">
        <w:t>Assurance maladie</w:t>
      </w:r>
      <w:r w:rsidRPr="00FA6EF4">
        <w:t xml:space="preserve"> enregistre chaque année un déficit important</w:t>
      </w:r>
      <w:r w:rsidR="005953CD" w:rsidRPr="00FA6EF4">
        <w:t xml:space="preserve">. Celui-ci s’explique certes par une croissance économique relativement faible depuis 2008, mais également par un déséquilibre </w:t>
      </w:r>
      <w:r w:rsidR="002F1A0D" w:rsidRPr="00FA6EF4">
        <w:t>structurel entre les dépenses et l</w:t>
      </w:r>
      <w:r w:rsidR="00835E39">
        <w:t xml:space="preserve">es recettes. </w:t>
      </w:r>
    </w:p>
    <w:p w:rsidR="00415E08" w:rsidRDefault="00415E08" w:rsidP="00415E08">
      <w:pPr>
        <w:pStyle w:val="Textedebase"/>
        <w:spacing w:line="240" w:lineRule="auto"/>
        <w:ind w:left="142" w:right="992"/>
        <w:rPr>
          <w:rStyle w:val="grisclair"/>
          <w:b/>
          <w:i/>
          <w:color w:val="17365D" w:themeColor="text2" w:themeShade="BF"/>
          <w:sz w:val="22"/>
          <w:szCs w:val="22"/>
        </w:rPr>
      </w:pPr>
    </w:p>
    <w:p w:rsidR="00E10286" w:rsidRPr="00221249" w:rsidRDefault="005953CD" w:rsidP="00C020D6">
      <w:pPr>
        <w:pStyle w:val="Textedebase"/>
        <w:numPr>
          <w:ilvl w:val="0"/>
          <w:numId w:val="6"/>
        </w:numPr>
        <w:spacing w:line="240" w:lineRule="auto"/>
        <w:ind w:left="0" w:right="992" w:hanging="357"/>
        <w:rPr>
          <w:b/>
          <w:i/>
          <w:color w:val="17365D" w:themeColor="text2" w:themeShade="BF"/>
          <w:sz w:val="22"/>
          <w:szCs w:val="22"/>
        </w:rPr>
      </w:pPr>
      <w:r w:rsidRPr="00221249">
        <w:rPr>
          <w:rStyle w:val="grisclair"/>
          <w:b/>
          <w:i/>
          <w:color w:val="17365D" w:themeColor="text2" w:themeShade="BF"/>
          <w:sz w:val="22"/>
          <w:szCs w:val="22"/>
        </w:rPr>
        <w:t xml:space="preserve">La pérennisation du système de santé français passe par </w:t>
      </w:r>
      <w:r w:rsidR="006971F2" w:rsidRPr="00221249">
        <w:rPr>
          <w:rStyle w:val="grisclair"/>
          <w:b/>
          <w:i/>
          <w:color w:val="17365D" w:themeColor="text2" w:themeShade="BF"/>
          <w:sz w:val="22"/>
          <w:szCs w:val="22"/>
        </w:rPr>
        <w:t>la</w:t>
      </w:r>
      <w:r w:rsidRPr="00221249">
        <w:rPr>
          <w:rStyle w:val="grisclair"/>
          <w:b/>
          <w:i/>
          <w:color w:val="17365D" w:themeColor="text2" w:themeShade="BF"/>
          <w:sz w:val="22"/>
          <w:szCs w:val="22"/>
        </w:rPr>
        <w:t xml:space="preserve"> redéfinition de son mode de financement, de sa couverture et du mode de régulation de ses dépenses</w:t>
      </w:r>
    </w:p>
    <w:p w:rsidR="00987897" w:rsidRDefault="00987897" w:rsidP="00415E08">
      <w:pPr>
        <w:pStyle w:val="Textedebase"/>
        <w:spacing w:after="80" w:line="240" w:lineRule="auto"/>
        <w:ind w:left="0"/>
        <w:jc w:val="left"/>
        <w:sectPr w:rsidR="00987897" w:rsidSect="00415E08">
          <w:type w:val="continuous"/>
          <w:pgSz w:w="11906" w:h="16838"/>
          <w:pgMar w:top="2127" w:right="1418" w:bottom="1135" w:left="1418" w:header="709" w:footer="454" w:gutter="0"/>
          <w:cols w:space="708"/>
          <w:docGrid w:linePitch="360"/>
        </w:sectPr>
      </w:pPr>
    </w:p>
    <w:p w:rsidR="00987897" w:rsidRPr="00FA6EF4" w:rsidRDefault="005953CD" w:rsidP="00415E08">
      <w:pPr>
        <w:pStyle w:val="Textedebase"/>
        <w:spacing w:after="80" w:line="240" w:lineRule="auto"/>
        <w:ind w:left="0"/>
        <w:jc w:val="left"/>
      </w:pPr>
      <w:r w:rsidRPr="00FA6EF4">
        <w:lastRenderedPageBreak/>
        <w:t xml:space="preserve">Il est </w:t>
      </w:r>
      <w:r w:rsidR="006971F2" w:rsidRPr="00FA6EF4">
        <w:t>indispensable</w:t>
      </w:r>
      <w:r w:rsidRPr="00FA6EF4">
        <w:t xml:space="preserve"> de résorber le déficit de l’</w:t>
      </w:r>
      <w:r w:rsidR="004759CA">
        <w:t>Assurance maladie</w:t>
      </w:r>
      <w:r w:rsidRPr="00FA6EF4">
        <w:t xml:space="preserve"> afin d’assurer la pérennité de notre système de </w:t>
      </w:r>
      <w:r w:rsidR="006971F2" w:rsidRPr="00FA6EF4">
        <w:t>soins</w:t>
      </w:r>
      <w:r w:rsidR="002F1A0D" w:rsidRPr="00FA6EF4">
        <w:t xml:space="preserve"> et de ses valeurs (solidarité, liberté de choix)</w:t>
      </w:r>
      <w:r w:rsidRPr="00FA6EF4">
        <w:t>.</w:t>
      </w:r>
    </w:p>
    <w:p w:rsidR="00511DC1" w:rsidRPr="00FA6EF4" w:rsidRDefault="005953CD" w:rsidP="00415E08">
      <w:pPr>
        <w:pStyle w:val="Textedebase"/>
        <w:spacing w:after="80" w:line="240" w:lineRule="auto"/>
        <w:ind w:left="0"/>
        <w:jc w:val="left"/>
      </w:pPr>
      <w:r w:rsidRPr="00FA6EF4">
        <w:t>Pour cela, les pouvoirs publics doivent poursuivre simultanément les quatre stratégies suivantes :</w:t>
      </w:r>
    </w:p>
    <w:p w:rsidR="005953CD" w:rsidRPr="00FA6EF4" w:rsidRDefault="005953CD" w:rsidP="00C020D6">
      <w:pPr>
        <w:pStyle w:val="Textedebase"/>
        <w:numPr>
          <w:ilvl w:val="0"/>
          <w:numId w:val="5"/>
        </w:numPr>
        <w:spacing w:after="80" w:line="240" w:lineRule="auto"/>
        <w:ind w:left="426" w:hanging="426"/>
        <w:jc w:val="left"/>
      </w:pPr>
      <w:r w:rsidRPr="00FA6EF4">
        <w:t xml:space="preserve">Accentuer l’efficience des dépenses de </w:t>
      </w:r>
      <w:r w:rsidR="006971F2" w:rsidRPr="00FA6EF4">
        <w:t>santé</w:t>
      </w:r>
      <w:r w:rsidRPr="00FA6EF4">
        <w:t xml:space="preserve"> (et non leur rationnement) ;</w:t>
      </w:r>
    </w:p>
    <w:p w:rsidR="005953CD" w:rsidRPr="00FA6EF4" w:rsidRDefault="005953CD" w:rsidP="00C020D6">
      <w:pPr>
        <w:pStyle w:val="Textedebase"/>
        <w:numPr>
          <w:ilvl w:val="0"/>
          <w:numId w:val="5"/>
        </w:numPr>
        <w:spacing w:after="80" w:line="240" w:lineRule="auto"/>
        <w:ind w:left="426" w:hanging="426"/>
        <w:jc w:val="left"/>
      </w:pPr>
      <w:r w:rsidRPr="00FA6EF4">
        <w:t>Diversifier les sources de finan</w:t>
      </w:r>
      <w:r w:rsidR="00FE6883">
        <w:t>cement (TVA, CSG</w:t>
      </w:r>
      <w:r w:rsidRPr="00FA6EF4">
        <w:t>) ;</w:t>
      </w:r>
    </w:p>
    <w:p w:rsidR="005953CD" w:rsidRPr="00FA6EF4" w:rsidRDefault="005953CD" w:rsidP="00C020D6">
      <w:pPr>
        <w:pStyle w:val="Textedebase"/>
        <w:numPr>
          <w:ilvl w:val="0"/>
          <w:numId w:val="5"/>
        </w:numPr>
        <w:spacing w:after="80" w:line="240" w:lineRule="auto"/>
        <w:ind w:left="426" w:hanging="426"/>
        <w:jc w:val="left"/>
      </w:pPr>
      <w:r w:rsidRPr="00FA6EF4">
        <w:t xml:space="preserve">Resserrer le champ des affections </w:t>
      </w:r>
      <w:r w:rsidR="00607F0C">
        <w:t xml:space="preserve">et des prestations </w:t>
      </w:r>
      <w:r w:rsidRPr="00FA6EF4">
        <w:t xml:space="preserve">relevant </w:t>
      </w:r>
      <w:r w:rsidR="002E467B">
        <w:t>intégralement de l’</w:t>
      </w:r>
      <w:r w:rsidR="00F07459">
        <w:t>A</w:t>
      </w:r>
      <w:r w:rsidR="002E467B">
        <w:t>ssurance maladie ;</w:t>
      </w:r>
    </w:p>
    <w:p w:rsidR="005F032B" w:rsidRPr="00FA6EF4" w:rsidRDefault="005953CD" w:rsidP="00C020D6">
      <w:pPr>
        <w:pStyle w:val="Textedebase"/>
        <w:numPr>
          <w:ilvl w:val="0"/>
          <w:numId w:val="5"/>
        </w:numPr>
        <w:spacing w:after="120" w:line="240" w:lineRule="auto"/>
        <w:ind w:left="426" w:hanging="426"/>
        <w:jc w:val="left"/>
      </w:pPr>
      <w:r w:rsidRPr="00FA6EF4">
        <w:t>Développer la prévention des risques sanitaires.</w:t>
      </w:r>
    </w:p>
    <w:p w:rsidR="00FF4612" w:rsidRDefault="00FF4612" w:rsidP="00415E08">
      <w:pPr>
        <w:pStyle w:val="Textedebase"/>
        <w:spacing w:after="120" w:line="240" w:lineRule="auto"/>
        <w:ind w:left="0"/>
        <w:jc w:val="left"/>
      </w:pPr>
      <w:r w:rsidRPr="00FA6EF4">
        <w:lastRenderedPageBreak/>
        <w:t>Une</w:t>
      </w:r>
      <w:r w:rsidR="005953CD" w:rsidRPr="00FA6EF4">
        <w:t xml:space="preserve"> </w:t>
      </w:r>
      <w:r w:rsidR="00F251C3">
        <w:t xml:space="preserve">simple </w:t>
      </w:r>
      <w:r w:rsidR="005953CD" w:rsidRPr="00FA6EF4">
        <w:t>revalorisa</w:t>
      </w:r>
      <w:r w:rsidR="006971F2" w:rsidRPr="00FA6EF4">
        <w:t xml:space="preserve">tion des cotisations sociales </w:t>
      </w:r>
      <w:r w:rsidRPr="00FA6EF4">
        <w:t xml:space="preserve">risquerait de pénaliser l’emploi en France et serait </w:t>
      </w:r>
      <w:r w:rsidR="002F1A0D" w:rsidRPr="00FA6EF4">
        <w:t xml:space="preserve">donc </w:t>
      </w:r>
      <w:r w:rsidRPr="00FA6EF4">
        <w:t xml:space="preserve">potentiellement contreproductive pour résorber les déficits sociaux. Aussi, </w:t>
      </w:r>
      <w:r w:rsidR="002F1A0D" w:rsidRPr="00FA6EF4">
        <w:t>cette mesure ne figure pas</w:t>
      </w:r>
      <w:r w:rsidRPr="00FA6EF4">
        <w:t xml:space="preserve"> parmi les stratégies à suivre.</w:t>
      </w:r>
    </w:p>
    <w:p w:rsidR="00607F0C" w:rsidRPr="00FA6EF4" w:rsidRDefault="00607F0C" w:rsidP="00415E08">
      <w:pPr>
        <w:pStyle w:val="Textedebase"/>
        <w:spacing w:after="120" w:line="240" w:lineRule="auto"/>
        <w:ind w:left="0"/>
        <w:jc w:val="left"/>
      </w:pPr>
    </w:p>
    <w:p w:rsidR="00987897" w:rsidRPr="00FA6EF4" w:rsidRDefault="00987897" w:rsidP="006971F2">
      <w:pPr>
        <w:pStyle w:val="Textedebase"/>
        <w:ind w:left="993"/>
      </w:pPr>
    </w:p>
    <w:p w:rsidR="00987897" w:rsidRPr="00FA6EF4" w:rsidRDefault="00987897" w:rsidP="006971F2">
      <w:pPr>
        <w:pStyle w:val="Textedebase"/>
        <w:ind w:left="993"/>
      </w:pPr>
    </w:p>
    <w:p w:rsidR="00987897" w:rsidRPr="00FA6EF4" w:rsidRDefault="00987897" w:rsidP="006971F2">
      <w:pPr>
        <w:pStyle w:val="Textedebase"/>
        <w:ind w:left="993"/>
      </w:pPr>
    </w:p>
    <w:p w:rsidR="00987897" w:rsidRPr="00FA6EF4" w:rsidRDefault="00987897" w:rsidP="006971F2">
      <w:pPr>
        <w:pStyle w:val="Textedebase"/>
        <w:ind w:left="993"/>
      </w:pPr>
    </w:p>
    <w:p w:rsidR="00987897" w:rsidRDefault="00987897" w:rsidP="006971F2">
      <w:pPr>
        <w:pStyle w:val="Textedebase"/>
        <w:ind w:left="993"/>
        <w:rPr>
          <w:color w:val="auto"/>
        </w:rPr>
      </w:pPr>
    </w:p>
    <w:p w:rsidR="00987897" w:rsidRDefault="00987897" w:rsidP="006971F2">
      <w:pPr>
        <w:pStyle w:val="Textedebase"/>
        <w:ind w:left="993"/>
        <w:rPr>
          <w:color w:val="auto"/>
        </w:rPr>
        <w:sectPr w:rsidR="00987897" w:rsidSect="00987897">
          <w:type w:val="continuous"/>
          <w:pgSz w:w="11906" w:h="16838"/>
          <w:pgMar w:top="2127" w:right="1418" w:bottom="1135" w:left="1418" w:header="709" w:footer="454" w:gutter="0"/>
          <w:cols w:num="2" w:space="282"/>
          <w:docGrid w:linePitch="360"/>
        </w:sectPr>
      </w:pPr>
    </w:p>
    <w:p w:rsidR="006971F2" w:rsidRDefault="006971F2" w:rsidP="006971F2">
      <w:pPr>
        <w:pStyle w:val="Textedebase"/>
        <w:ind w:left="993"/>
        <w:rPr>
          <w:color w:val="auto"/>
        </w:rPr>
      </w:pPr>
    </w:p>
    <w:p w:rsidR="00415E08" w:rsidRPr="006971F2" w:rsidRDefault="00415E08" w:rsidP="0003685B">
      <w:pPr>
        <w:pStyle w:val="Textedebase"/>
        <w:ind w:left="0"/>
        <w:rPr>
          <w:color w:val="auto"/>
        </w:rPr>
      </w:pPr>
    </w:p>
    <w:p w:rsidR="00E10286" w:rsidRPr="00221249" w:rsidRDefault="002F1A0D" w:rsidP="00C020D6">
      <w:pPr>
        <w:pStyle w:val="Textedebase"/>
        <w:numPr>
          <w:ilvl w:val="0"/>
          <w:numId w:val="6"/>
        </w:numPr>
        <w:spacing w:after="120" w:line="240" w:lineRule="auto"/>
        <w:ind w:left="142" w:right="1273"/>
        <w:rPr>
          <w:b/>
          <w:i/>
          <w:color w:val="17365D" w:themeColor="text2" w:themeShade="BF"/>
          <w:sz w:val="22"/>
          <w:szCs w:val="22"/>
        </w:rPr>
      </w:pPr>
      <w:r w:rsidRPr="00221249">
        <w:rPr>
          <w:b/>
          <w:i/>
          <w:color w:val="17365D" w:themeColor="text2" w:themeShade="BF"/>
          <w:sz w:val="22"/>
          <w:szCs w:val="22"/>
        </w:rPr>
        <w:lastRenderedPageBreak/>
        <w:t xml:space="preserve">Depuis plusieurs années, la </w:t>
      </w:r>
      <w:r w:rsidR="009676AD">
        <w:rPr>
          <w:b/>
          <w:i/>
          <w:color w:val="17365D" w:themeColor="text2" w:themeShade="BF"/>
          <w:sz w:val="22"/>
          <w:szCs w:val="22"/>
        </w:rPr>
        <w:t>Sécurité sociale</w:t>
      </w:r>
      <w:r w:rsidR="00E10286" w:rsidRPr="00221249">
        <w:rPr>
          <w:b/>
          <w:i/>
          <w:color w:val="17365D" w:themeColor="text2" w:themeShade="BF"/>
          <w:sz w:val="22"/>
          <w:szCs w:val="22"/>
        </w:rPr>
        <w:t xml:space="preserve"> se désengage progressivement du remboursement de certains soins. Les complémentaires </w:t>
      </w:r>
      <w:proofErr w:type="gramStart"/>
      <w:r w:rsidR="00E10286" w:rsidRPr="00221249">
        <w:rPr>
          <w:b/>
          <w:i/>
          <w:color w:val="17365D" w:themeColor="text2" w:themeShade="BF"/>
          <w:sz w:val="22"/>
          <w:szCs w:val="22"/>
        </w:rPr>
        <w:t>santé</w:t>
      </w:r>
      <w:proofErr w:type="gramEnd"/>
      <w:r w:rsidR="00E10286" w:rsidRPr="00221249">
        <w:rPr>
          <w:b/>
          <w:i/>
          <w:color w:val="17365D" w:themeColor="text2" w:themeShade="BF"/>
          <w:sz w:val="22"/>
          <w:szCs w:val="22"/>
        </w:rPr>
        <w:t xml:space="preserve"> sont venues prendre le relais là où l’</w:t>
      </w:r>
      <w:r w:rsidR="004759CA">
        <w:rPr>
          <w:b/>
          <w:i/>
          <w:color w:val="17365D" w:themeColor="text2" w:themeShade="BF"/>
          <w:sz w:val="22"/>
          <w:szCs w:val="22"/>
        </w:rPr>
        <w:t>Assurance maladie</w:t>
      </w:r>
      <w:r w:rsidR="0073700C" w:rsidRPr="00221249">
        <w:rPr>
          <w:b/>
          <w:i/>
          <w:color w:val="17365D" w:themeColor="text2" w:themeShade="BF"/>
          <w:sz w:val="22"/>
          <w:szCs w:val="22"/>
        </w:rPr>
        <w:t xml:space="preserve"> a reculé</w:t>
      </w:r>
    </w:p>
    <w:p w:rsidR="00221249" w:rsidRDefault="00221249" w:rsidP="00415E08">
      <w:pPr>
        <w:pStyle w:val="Textedebase"/>
        <w:spacing w:after="120" w:line="240" w:lineRule="auto"/>
        <w:ind w:left="142"/>
        <w:jc w:val="left"/>
        <w:sectPr w:rsidR="00221249" w:rsidSect="00415E08">
          <w:type w:val="continuous"/>
          <w:pgSz w:w="11906" w:h="16838"/>
          <w:pgMar w:top="2127" w:right="1418" w:bottom="1135" w:left="1418" w:header="709" w:footer="454" w:gutter="0"/>
          <w:cols w:space="708"/>
          <w:docGrid w:linePitch="360"/>
        </w:sectPr>
      </w:pPr>
    </w:p>
    <w:p w:rsidR="003942DB" w:rsidRPr="00FA6EF4" w:rsidRDefault="00E10286" w:rsidP="00FA6EF4">
      <w:pPr>
        <w:pStyle w:val="Textedebase"/>
        <w:spacing w:after="120"/>
        <w:ind w:left="142"/>
        <w:jc w:val="left"/>
      </w:pPr>
      <w:r w:rsidRPr="00FA6EF4">
        <w:lastRenderedPageBreak/>
        <w:t xml:space="preserve">Les </w:t>
      </w:r>
      <w:r w:rsidR="005F032B" w:rsidRPr="00FA6EF4">
        <w:t>organismes complémentaires d’</w:t>
      </w:r>
      <w:r w:rsidR="004759CA">
        <w:t>Assurance maladie</w:t>
      </w:r>
      <w:r w:rsidRPr="00FA6EF4">
        <w:t xml:space="preserve"> jouent un rôle </w:t>
      </w:r>
      <w:r w:rsidR="003942DB" w:rsidRPr="00FA6EF4">
        <w:t>majeur</w:t>
      </w:r>
      <w:r w:rsidRPr="00FA6EF4">
        <w:t xml:space="preserve"> dans le financement des soins</w:t>
      </w:r>
      <w:r w:rsidR="005F032B" w:rsidRPr="00FA6EF4">
        <w:t xml:space="preserve"> faiblement remboursés par </w:t>
      </w:r>
      <w:r w:rsidR="00871A98">
        <w:t xml:space="preserve">la </w:t>
      </w:r>
      <w:r w:rsidR="009676AD">
        <w:t>Sécurité sociale</w:t>
      </w:r>
      <w:r w:rsidR="00871A98">
        <w:t xml:space="preserve"> </w:t>
      </w:r>
      <w:r w:rsidRPr="00FA6EF4">
        <w:t>(op</w:t>
      </w:r>
      <w:r w:rsidR="005F032B" w:rsidRPr="00FA6EF4">
        <w:t xml:space="preserve">tique, dentaire, </w:t>
      </w:r>
      <w:r w:rsidR="00A22152" w:rsidRPr="00FA6EF4">
        <w:t xml:space="preserve">audioprothèse essentiellement). </w:t>
      </w:r>
      <w:r w:rsidR="00FB0C71" w:rsidRPr="00FA6EF4">
        <w:t>S</w:t>
      </w:r>
      <w:r w:rsidR="003942DB" w:rsidRPr="00FA6EF4">
        <w:t xml:space="preserve">elon </w:t>
      </w:r>
      <w:r w:rsidR="0073700C" w:rsidRPr="00FA6EF4">
        <w:t>une étude de la</w:t>
      </w:r>
      <w:r w:rsidR="003942DB" w:rsidRPr="00FA6EF4">
        <w:t xml:space="preserve"> Drees, l’</w:t>
      </w:r>
      <w:r w:rsidR="004759CA">
        <w:t>Assurance maladie</w:t>
      </w:r>
      <w:r w:rsidR="003942DB" w:rsidRPr="00FA6EF4">
        <w:t xml:space="preserve"> </w:t>
      </w:r>
      <w:r w:rsidR="0073700C" w:rsidRPr="00FA6EF4">
        <w:t xml:space="preserve">ne </w:t>
      </w:r>
      <w:r w:rsidR="003942DB" w:rsidRPr="00FA6EF4">
        <w:t xml:space="preserve">couvre </w:t>
      </w:r>
      <w:r w:rsidR="0073700C" w:rsidRPr="00FA6EF4">
        <w:t>que</w:t>
      </w:r>
      <w:r w:rsidR="00FB0C71" w:rsidRPr="00FA6EF4">
        <w:t xml:space="preserve"> 2% du coût d’une paire de lunettes à optique simple, contre 76% pour </w:t>
      </w:r>
      <w:proofErr w:type="gramStart"/>
      <w:r w:rsidR="00FB0C71" w:rsidRPr="00FA6EF4">
        <w:t>les complémentaires santé</w:t>
      </w:r>
      <w:proofErr w:type="gramEnd"/>
      <w:r w:rsidR="00FB0C71" w:rsidRPr="00FA6EF4">
        <w:t>.</w:t>
      </w:r>
    </w:p>
    <w:p w:rsidR="00221249" w:rsidRDefault="00A22152" w:rsidP="00FE6883">
      <w:pPr>
        <w:pStyle w:val="Textedebase"/>
        <w:spacing w:after="120"/>
        <w:ind w:left="142"/>
        <w:jc w:val="left"/>
        <w:sectPr w:rsidR="00221249" w:rsidSect="00221249">
          <w:type w:val="continuous"/>
          <w:pgSz w:w="11906" w:h="16838"/>
          <w:pgMar w:top="1928" w:right="1418" w:bottom="1135" w:left="1418" w:header="709" w:footer="709" w:gutter="0"/>
          <w:cols w:num="2" w:space="286"/>
          <w:docGrid w:linePitch="360"/>
        </w:sectPr>
      </w:pPr>
      <w:r w:rsidRPr="00FA6EF4">
        <w:lastRenderedPageBreak/>
        <w:t>I</w:t>
      </w:r>
      <w:r w:rsidR="00891F4B" w:rsidRPr="00FA6EF4">
        <w:t xml:space="preserve">l </w:t>
      </w:r>
      <w:r w:rsidR="00FF4612" w:rsidRPr="00FA6EF4">
        <w:t>apparaît</w:t>
      </w:r>
      <w:r w:rsidR="00891F4B" w:rsidRPr="00FA6EF4">
        <w:t xml:space="preserve"> </w:t>
      </w:r>
      <w:r w:rsidR="00871A98">
        <w:t>ainsi</w:t>
      </w:r>
      <w:r w:rsidR="00891F4B" w:rsidRPr="00FA6EF4">
        <w:t xml:space="preserve"> légitime que </w:t>
      </w:r>
      <w:r w:rsidR="005F032B" w:rsidRPr="00FA6EF4">
        <w:t xml:space="preserve">les complémentaires </w:t>
      </w:r>
      <w:r w:rsidR="00891F4B" w:rsidRPr="00FA6EF4">
        <w:t xml:space="preserve">puissent </w:t>
      </w:r>
      <w:r w:rsidR="005F032B" w:rsidRPr="00FA6EF4">
        <w:t xml:space="preserve">développer </w:t>
      </w:r>
      <w:r w:rsidR="006C4EB8" w:rsidRPr="00FA6EF4">
        <w:t>des</w:t>
      </w:r>
      <w:r w:rsidR="005F032B" w:rsidRPr="00FA6EF4">
        <w:t xml:space="preserve"> </w:t>
      </w:r>
      <w:r w:rsidR="006C4EB8" w:rsidRPr="00FA6EF4">
        <w:t>dispositifs</w:t>
      </w:r>
      <w:r w:rsidR="005F032B" w:rsidRPr="00FA6EF4">
        <w:t xml:space="preserve"> pour réguler les dépenses qui leur incombent</w:t>
      </w:r>
      <w:r w:rsidR="00FF4612" w:rsidRPr="00FA6EF4">
        <w:t xml:space="preserve">. </w:t>
      </w:r>
      <w:r w:rsidR="0073700C" w:rsidRPr="00FA6EF4">
        <w:t>Une telle régulation est d’ailleurs autant au bénéfice des patients et de la</w:t>
      </w:r>
      <w:r w:rsidR="00FE6883">
        <w:t xml:space="preserve"> collectivité que des assureurs. Il s’agit de réguler le coût des soins à court terme et de</w:t>
      </w:r>
      <w:r w:rsidR="0073700C" w:rsidRPr="00FA6EF4">
        <w:t xml:space="preserve"> </w:t>
      </w:r>
      <w:r w:rsidR="00FE6883" w:rsidRPr="00FA6EF4">
        <w:t>pérennis</w:t>
      </w:r>
      <w:r w:rsidR="00FE6883">
        <w:t xml:space="preserve">er le </w:t>
      </w:r>
      <w:r w:rsidR="0073700C" w:rsidRPr="00FA6EF4">
        <w:t>systè</w:t>
      </w:r>
      <w:r w:rsidR="00FA6EF4">
        <w:t>me de santé public à long terme.</w:t>
      </w:r>
    </w:p>
    <w:p w:rsidR="0003685B" w:rsidRDefault="0003685B" w:rsidP="00415E08">
      <w:pPr>
        <w:pStyle w:val="Textedebase"/>
        <w:spacing w:after="120" w:line="240" w:lineRule="auto"/>
        <w:ind w:left="0"/>
      </w:pPr>
    </w:p>
    <w:p w:rsidR="005953CD" w:rsidRPr="00221249" w:rsidRDefault="006C4EB8" w:rsidP="00C020D6">
      <w:pPr>
        <w:pStyle w:val="Textedebase"/>
        <w:numPr>
          <w:ilvl w:val="0"/>
          <w:numId w:val="6"/>
        </w:numPr>
        <w:spacing w:after="120" w:line="240" w:lineRule="auto"/>
        <w:ind w:left="142" w:right="1273"/>
        <w:rPr>
          <w:i/>
          <w:color w:val="17365D" w:themeColor="text2" w:themeShade="BF"/>
          <w:sz w:val="22"/>
          <w:szCs w:val="22"/>
        </w:rPr>
      </w:pPr>
      <w:r w:rsidRPr="00221249">
        <w:rPr>
          <w:b/>
          <w:i/>
          <w:color w:val="17365D" w:themeColor="text2" w:themeShade="BF"/>
          <w:sz w:val="22"/>
          <w:szCs w:val="22"/>
        </w:rPr>
        <w:t>L</w:t>
      </w:r>
      <w:r w:rsidR="00891F4B" w:rsidRPr="00221249">
        <w:rPr>
          <w:b/>
          <w:i/>
          <w:color w:val="17365D" w:themeColor="text2" w:themeShade="BF"/>
          <w:sz w:val="22"/>
          <w:szCs w:val="22"/>
        </w:rPr>
        <w:t>es complémentaires ont développé un mécanisme de régulation efficace des dépenses et de la qualité : les réseaux de professionnels conventionnés</w:t>
      </w:r>
    </w:p>
    <w:p w:rsidR="00415E08" w:rsidRDefault="00415E08" w:rsidP="00415E08">
      <w:pPr>
        <w:pStyle w:val="Textedebase"/>
        <w:spacing w:after="120" w:line="240" w:lineRule="auto"/>
        <w:ind w:left="142" w:right="142"/>
        <w:jc w:val="left"/>
        <w:rPr>
          <w:rStyle w:val="grisclair"/>
          <w:szCs w:val="20"/>
        </w:rPr>
        <w:sectPr w:rsidR="00415E08" w:rsidSect="00CA0B15">
          <w:type w:val="continuous"/>
          <w:pgSz w:w="11906" w:h="16838"/>
          <w:pgMar w:top="1928" w:right="1418" w:bottom="1135" w:left="1418" w:header="709" w:footer="709" w:gutter="0"/>
          <w:cols w:space="708"/>
          <w:docGrid w:linePitch="360"/>
        </w:sectPr>
      </w:pPr>
    </w:p>
    <w:p w:rsidR="00F3199F" w:rsidRPr="00221249" w:rsidRDefault="00F3199F" w:rsidP="00FA6EF4">
      <w:pPr>
        <w:pStyle w:val="Textedebase"/>
        <w:spacing w:after="120"/>
        <w:ind w:left="142" w:right="-1"/>
        <w:jc w:val="left"/>
        <w:rPr>
          <w:szCs w:val="20"/>
        </w:rPr>
      </w:pPr>
      <w:r w:rsidRPr="00221249">
        <w:rPr>
          <w:rStyle w:val="grisclair"/>
          <w:szCs w:val="20"/>
        </w:rPr>
        <w:lastRenderedPageBreak/>
        <w:t xml:space="preserve">Les réseaux conventionnés reposent sur des partenariats </w:t>
      </w:r>
      <w:r w:rsidRPr="00221249">
        <w:rPr>
          <w:rStyle w:val="grisclair"/>
          <w:i/>
          <w:szCs w:val="20"/>
        </w:rPr>
        <w:t>intuitu personae</w:t>
      </w:r>
      <w:r w:rsidRPr="00221249">
        <w:rPr>
          <w:rStyle w:val="grisclair"/>
          <w:szCs w:val="20"/>
        </w:rPr>
        <w:t xml:space="preserve"> conclus entre les professionnels de santé,</w:t>
      </w:r>
      <w:r w:rsidR="00FF4612" w:rsidRPr="00221249">
        <w:rPr>
          <w:rStyle w:val="grisclair"/>
          <w:szCs w:val="20"/>
        </w:rPr>
        <w:t xml:space="preserve"> </w:t>
      </w:r>
      <w:r w:rsidRPr="00221249">
        <w:rPr>
          <w:rStyle w:val="grisclair"/>
          <w:szCs w:val="20"/>
        </w:rPr>
        <w:t xml:space="preserve">pour l’heure essentiellement des opticiens-lunetiers, et </w:t>
      </w:r>
      <w:proofErr w:type="gramStart"/>
      <w:r w:rsidRPr="00221249">
        <w:rPr>
          <w:rStyle w:val="grisclair"/>
          <w:szCs w:val="20"/>
        </w:rPr>
        <w:t>les complémentaires santé</w:t>
      </w:r>
      <w:proofErr w:type="gramEnd"/>
      <w:r w:rsidRPr="00221249">
        <w:rPr>
          <w:rStyle w:val="grisclair"/>
          <w:szCs w:val="20"/>
        </w:rPr>
        <w:t xml:space="preserve">. </w:t>
      </w:r>
    </w:p>
    <w:p w:rsidR="00891F4B" w:rsidRPr="00221249" w:rsidRDefault="00891F4B" w:rsidP="00871A98">
      <w:pPr>
        <w:pStyle w:val="Textedebase"/>
        <w:spacing w:after="60"/>
        <w:ind w:left="142"/>
        <w:jc w:val="left"/>
        <w:rPr>
          <w:szCs w:val="20"/>
        </w:rPr>
      </w:pPr>
      <w:r w:rsidRPr="00221249">
        <w:rPr>
          <w:szCs w:val="20"/>
        </w:rPr>
        <w:t xml:space="preserve">En intégrant un réseau, les professionnels de santé s’engagent à : </w:t>
      </w:r>
    </w:p>
    <w:p w:rsidR="00891F4B" w:rsidRPr="00221249" w:rsidRDefault="00891F4B" w:rsidP="00C020D6">
      <w:pPr>
        <w:pStyle w:val="Paragraphedeliste"/>
        <w:numPr>
          <w:ilvl w:val="0"/>
          <w:numId w:val="7"/>
        </w:numPr>
        <w:spacing w:after="60"/>
        <w:ind w:left="426" w:hanging="284"/>
        <w:contextualSpacing w:val="0"/>
        <w:jc w:val="left"/>
        <w:rPr>
          <w:color w:val="262626" w:themeColor="text1" w:themeTint="D9"/>
          <w:sz w:val="20"/>
          <w:szCs w:val="20"/>
        </w:rPr>
      </w:pPr>
      <w:r w:rsidRPr="00221249">
        <w:rPr>
          <w:color w:val="262626" w:themeColor="text1" w:themeTint="D9"/>
          <w:sz w:val="20"/>
          <w:szCs w:val="20"/>
        </w:rPr>
        <w:t>Pratiquer de</w:t>
      </w:r>
      <w:r w:rsidR="00ED48F1" w:rsidRPr="00221249">
        <w:rPr>
          <w:color w:val="262626" w:themeColor="text1" w:themeTint="D9"/>
          <w:sz w:val="20"/>
          <w:szCs w:val="20"/>
        </w:rPr>
        <w:t>s tarifs « raisonnables » </w:t>
      </w:r>
      <w:r w:rsidRPr="00221249">
        <w:rPr>
          <w:color w:val="262626" w:themeColor="text1" w:themeTint="D9"/>
          <w:sz w:val="20"/>
          <w:szCs w:val="20"/>
        </w:rPr>
        <w:t>;</w:t>
      </w:r>
    </w:p>
    <w:p w:rsidR="00891F4B" w:rsidRPr="00221249" w:rsidRDefault="00891F4B" w:rsidP="00C020D6">
      <w:pPr>
        <w:pStyle w:val="Paragraphedeliste"/>
        <w:numPr>
          <w:ilvl w:val="0"/>
          <w:numId w:val="7"/>
        </w:numPr>
        <w:spacing w:after="60"/>
        <w:ind w:left="426" w:hanging="284"/>
        <w:contextualSpacing w:val="0"/>
        <w:jc w:val="left"/>
        <w:rPr>
          <w:color w:val="262626" w:themeColor="text1" w:themeTint="D9"/>
          <w:sz w:val="20"/>
          <w:szCs w:val="20"/>
        </w:rPr>
      </w:pPr>
      <w:r w:rsidRPr="00221249">
        <w:rPr>
          <w:color w:val="262626" w:themeColor="text1" w:themeTint="D9"/>
          <w:sz w:val="20"/>
          <w:szCs w:val="20"/>
        </w:rPr>
        <w:t>Mettre en place le tiers-payant ;</w:t>
      </w:r>
    </w:p>
    <w:p w:rsidR="00891F4B" w:rsidRPr="00221249" w:rsidRDefault="00891F4B" w:rsidP="00C020D6">
      <w:pPr>
        <w:pStyle w:val="Paragraphedeliste"/>
        <w:numPr>
          <w:ilvl w:val="0"/>
          <w:numId w:val="7"/>
        </w:numPr>
        <w:spacing w:after="120"/>
        <w:ind w:left="426" w:hanging="284"/>
        <w:jc w:val="left"/>
        <w:rPr>
          <w:color w:val="262626" w:themeColor="text1" w:themeTint="D9"/>
          <w:sz w:val="20"/>
          <w:szCs w:val="20"/>
        </w:rPr>
      </w:pPr>
      <w:r w:rsidRPr="00221249">
        <w:rPr>
          <w:color w:val="262626" w:themeColor="text1" w:themeTint="D9"/>
          <w:sz w:val="20"/>
          <w:szCs w:val="20"/>
        </w:rPr>
        <w:t>R</w:t>
      </w:r>
      <w:r w:rsidR="00ED48F1" w:rsidRPr="00221249">
        <w:rPr>
          <w:color w:val="262626" w:themeColor="text1" w:themeTint="D9"/>
          <w:sz w:val="20"/>
          <w:szCs w:val="20"/>
        </w:rPr>
        <w:t>especter des normes de qualité.</w:t>
      </w:r>
      <w:r w:rsidRPr="00221249">
        <w:rPr>
          <w:color w:val="262626" w:themeColor="text1" w:themeTint="D9"/>
          <w:sz w:val="20"/>
          <w:szCs w:val="20"/>
        </w:rPr>
        <w:t xml:space="preserve"> </w:t>
      </w:r>
    </w:p>
    <w:p w:rsidR="006C4EB8" w:rsidRDefault="00891F4B" w:rsidP="00FA6EF4">
      <w:pPr>
        <w:pStyle w:val="Textedebase"/>
        <w:spacing w:after="120"/>
        <w:ind w:left="142" w:right="423"/>
        <w:jc w:val="left"/>
        <w:rPr>
          <w:szCs w:val="20"/>
        </w:rPr>
      </w:pPr>
      <w:r w:rsidRPr="00221249">
        <w:rPr>
          <w:szCs w:val="20"/>
        </w:rPr>
        <w:t xml:space="preserve">En contrepartie, les </w:t>
      </w:r>
      <w:r w:rsidR="00ED48F1" w:rsidRPr="00221249">
        <w:rPr>
          <w:szCs w:val="20"/>
        </w:rPr>
        <w:t>complémentaires</w:t>
      </w:r>
      <w:r w:rsidRPr="00221249">
        <w:rPr>
          <w:szCs w:val="20"/>
        </w:rPr>
        <w:t xml:space="preserve"> garantissent aux </w:t>
      </w:r>
      <w:r w:rsidR="00ED48F1" w:rsidRPr="00221249">
        <w:rPr>
          <w:szCs w:val="20"/>
        </w:rPr>
        <w:t>magasins conventionnés</w:t>
      </w:r>
      <w:r w:rsidRPr="00221249">
        <w:rPr>
          <w:szCs w:val="20"/>
        </w:rPr>
        <w:t xml:space="preserve"> un certain volume de clients. Pour cela, </w:t>
      </w:r>
      <w:r w:rsidR="00ED48F1" w:rsidRPr="00221249">
        <w:rPr>
          <w:szCs w:val="20"/>
        </w:rPr>
        <w:t>elles</w:t>
      </w:r>
      <w:r w:rsidRPr="00221249">
        <w:rPr>
          <w:szCs w:val="20"/>
        </w:rPr>
        <w:t xml:space="preserve"> ont développé des incitations auprès de leurs assurés afin que ceux-ci s’orientent volontairement vers les </w:t>
      </w:r>
      <w:r w:rsidR="00C83146" w:rsidRPr="00221249">
        <w:rPr>
          <w:szCs w:val="20"/>
        </w:rPr>
        <w:t>professionnels</w:t>
      </w:r>
      <w:r w:rsidRPr="00221249">
        <w:rPr>
          <w:szCs w:val="20"/>
        </w:rPr>
        <w:t xml:space="preserve"> du réseau.</w:t>
      </w:r>
      <w:r w:rsidR="006C4EB8" w:rsidRPr="00221249">
        <w:rPr>
          <w:szCs w:val="20"/>
        </w:rPr>
        <w:t xml:space="preserve"> </w:t>
      </w:r>
    </w:p>
    <w:p w:rsidR="00891F4B" w:rsidRPr="00221249" w:rsidRDefault="006C4EB8" w:rsidP="00FA6EF4">
      <w:pPr>
        <w:pStyle w:val="Textedebase"/>
        <w:spacing w:after="120"/>
        <w:ind w:left="142"/>
        <w:jc w:val="left"/>
        <w:rPr>
          <w:szCs w:val="20"/>
        </w:rPr>
      </w:pPr>
      <w:r w:rsidRPr="00221249">
        <w:rPr>
          <w:szCs w:val="20"/>
        </w:rPr>
        <w:lastRenderedPageBreak/>
        <w:t xml:space="preserve">Assureurs et professionnels de santé y trouvent donc </w:t>
      </w:r>
      <w:r w:rsidR="004A086C">
        <w:rPr>
          <w:szCs w:val="20"/>
        </w:rPr>
        <w:t>un</w:t>
      </w:r>
      <w:r w:rsidRPr="00221249">
        <w:rPr>
          <w:szCs w:val="20"/>
        </w:rPr>
        <w:t xml:space="preserve"> intérêt, de sorte que les opticiens</w:t>
      </w:r>
      <w:r w:rsidR="00871A98">
        <w:rPr>
          <w:szCs w:val="20"/>
        </w:rPr>
        <w:t xml:space="preserve">-lunetiers </w:t>
      </w:r>
      <w:r w:rsidRPr="00221249">
        <w:rPr>
          <w:szCs w:val="20"/>
        </w:rPr>
        <w:t xml:space="preserve"> souhaitant intégrer les réseaux sont nombreux.</w:t>
      </w:r>
    </w:p>
    <w:p w:rsidR="00A22152" w:rsidRPr="00221249" w:rsidRDefault="006C4EB8" w:rsidP="00FA6EF4">
      <w:pPr>
        <w:spacing w:after="120"/>
        <w:ind w:left="142"/>
        <w:contextualSpacing/>
        <w:jc w:val="left"/>
        <w:rPr>
          <w:color w:val="262626" w:themeColor="text1" w:themeTint="D9"/>
          <w:sz w:val="20"/>
          <w:szCs w:val="20"/>
        </w:rPr>
      </w:pPr>
      <w:r w:rsidRPr="00221249">
        <w:rPr>
          <w:color w:val="262626" w:themeColor="text1" w:themeTint="D9"/>
          <w:sz w:val="20"/>
          <w:szCs w:val="20"/>
        </w:rPr>
        <w:t>Pour les assurés, c</w:t>
      </w:r>
      <w:r w:rsidR="00A22152" w:rsidRPr="00221249">
        <w:rPr>
          <w:color w:val="262626" w:themeColor="text1" w:themeTint="D9"/>
          <w:sz w:val="20"/>
          <w:szCs w:val="20"/>
        </w:rPr>
        <w:t xml:space="preserve">e </w:t>
      </w:r>
      <w:r w:rsidR="00B45F97">
        <w:rPr>
          <w:color w:val="262626" w:themeColor="text1" w:themeTint="D9"/>
          <w:sz w:val="20"/>
          <w:szCs w:val="20"/>
        </w:rPr>
        <w:t>dispositif</w:t>
      </w:r>
      <w:r w:rsidR="00A22152" w:rsidRPr="00221249">
        <w:rPr>
          <w:color w:val="262626" w:themeColor="text1" w:themeTint="D9"/>
          <w:sz w:val="20"/>
          <w:szCs w:val="20"/>
        </w:rPr>
        <w:t xml:space="preserve"> de régulation présente divers avantages</w:t>
      </w:r>
      <w:r w:rsidRPr="00221249">
        <w:rPr>
          <w:color w:val="262626" w:themeColor="text1" w:themeTint="D9"/>
          <w:sz w:val="20"/>
          <w:szCs w:val="20"/>
        </w:rPr>
        <w:t xml:space="preserve"> </w:t>
      </w:r>
      <w:r w:rsidR="00A22152" w:rsidRPr="00221249">
        <w:rPr>
          <w:color w:val="262626" w:themeColor="text1" w:themeTint="D9"/>
          <w:sz w:val="20"/>
          <w:szCs w:val="20"/>
        </w:rPr>
        <w:t>:</w:t>
      </w:r>
    </w:p>
    <w:p w:rsidR="00A22152" w:rsidRPr="00221249" w:rsidRDefault="00A22152" w:rsidP="00C020D6">
      <w:pPr>
        <w:pStyle w:val="Paragraphedeliste"/>
        <w:numPr>
          <w:ilvl w:val="0"/>
          <w:numId w:val="8"/>
        </w:numPr>
        <w:spacing w:after="120"/>
        <w:ind w:left="426" w:hanging="284"/>
        <w:contextualSpacing w:val="0"/>
        <w:jc w:val="left"/>
        <w:rPr>
          <w:color w:val="262626" w:themeColor="text1" w:themeTint="D9"/>
          <w:sz w:val="20"/>
          <w:szCs w:val="20"/>
        </w:rPr>
      </w:pPr>
      <w:r w:rsidRPr="00221249">
        <w:rPr>
          <w:color w:val="262626" w:themeColor="text1" w:themeTint="D9"/>
          <w:sz w:val="20"/>
          <w:szCs w:val="20"/>
        </w:rPr>
        <w:t>des tarifs modérés à qualité de prestation égale, voire supérieure ;</w:t>
      </w:r>
    </w:p>
    <w:p w:rsidR="00A22152" w:rsidRPr="00221249" w:rsidRDefault="00A22152" w:rsidP="00C020D6">
      <w:pPr>
        <w:pStyle w:val="Paragraphedeliste"/>
        <w:numPr>
          <w:ilvl w:val="0"/>
          <w:numId w:val="8"/>
        </w:numPr>
        <w:spacing w:after="120"/>
        <w:ind w:left="426" w:hanging="284"/>
        <w:contextualSpacing w:val="0"/>
        <w:jc w:val="left"/>
        <w:rPr>
          <w:color w:val="262626" w:themeColor="text1" w:themeTint="D9"/>
          <w:sz w:val="20"/>
          <w:szCs w:val="20"/>
        </w:rPr>
      </w:pPr>
      <w:r w:rsidRPr="00221249">
        <w:rPr>
          <w:color w:val="262626" w:themeColor="text1" w:themeTint="D9"/>
          <w:sz w:val="20"/>
          <w:szCs w:val="20"/>
        </w:rPr>
        <w:t xml:space="preserve">une meilleure prise en charge des dépenses par leur </w:t>
      </w:r>
      <w:r w:rsidR="00C83146" w:rsidRPr="00221249">
        <w:rPr>
          <w:color w:val="262626" w:themeColor="text1" w:themeTint="D9"/>
          <w:sz w:val="20"/>
          <w:szCs w:val="20"/>
        </w:rPr>
        <w:t>assureur</w:t>
      </w:r>
      <w:r w:rsidRPr="00221249">
        <w:rPr>
          <w:color w:val="262626" w:themeColor="text1" w:themeTint="D9"/>
          <w:sz w:val="20"/>
          <w:szCs w:val="20"/>
        </w:rPr>
        <w:t> ;</w:t>
      </w:r>
    </w:p>
    <w:p w:rsidR="00A22152" w:rsidRPr="00221249" w:rsidRDefault="00A22152" w:rsidP="00C020D6">
      <w:pPr>
        <w:pStyle w:val="Paragraphedeliste"/>
        <w:numPr>
          <w:ilvl w:val="0"/>
          <w:numId w:val="8"/>
        </w:numPr>
        <w:spacing w:after="120"/>
        <w:ind w:left="426" w:hanging="284"/>
        <w:contextualSpacing w:val="0"/>
        <w:jc w:val="left"/>
        <w:rPr>
          <w:color w:val="262626" w:themeColor="text1" w:themeTint="D9"/>
          <w:sz w:val="20"/>
          <w:szCs w:val="20"/>
        </w:rPr>
      </w:pPr>
      <w:r w:rsidRPr="00221249">
        <w:rPr>
          <w:color w:val="262626" w:themeColor="text1" w:themeTint="D9"/>
          <w:sz w:val="20"/>
          <w:szCs w:val="20"/>
        </w:rPr>
        <w:t>une dispense d’avance de frais (tiers-payant) ;</w:t>
      </w:r>
    </w:p>
    <w:p w:rsidR="00A22152" w:rsidRPr="00221249" w:rsidRDefault="00A22152" w:rsidP="00C020D6">
      <w:pPr>
        <w:pStyle w:val="Paragraphedeliste"/>
        <w:numPr>
          <w:ilvl w:val="0"/>
          <w:numId w:val="8"/>
        </w:numPr>
        <w:spacing w:after="120"/>
        <w:ind w:left="426" w:hanging="284"/>
        <w:contextualSpacing w:val="0"/>
        <w:jc w:val="left"/>
        <w:rPr>
          <w:color w:val="262626" w:themeColor="text1" w:themeTint="D9"/>
          <w:sz w:val="20"/>
          <w:szCs w:val="20"/>
        </w:rPr>
      </w:pPr>
      <w:r w:rsidRPr="00221249">
        <w:rPr>
          <w:color w:val="262626" w:themeColor="text1" w:themeTint="D9"/>
          <w:sz w:val="20"/>
          <w:szCs w:val="20"/>
        </w:rPr>
        <w:t>de</w:t>
      </w:r>
      <w:r w:rsidR="00D87910">
        <w:rPr>
          <w:color w:val="262626" w:themeColor="text1" w:themeTint="D9"/>
          <w:sz w:val="20"/>
          <w:szCs w:val="20"/>
        </w:rPr>
        <w:t>s</w:t>
      </w:r>
      <w:r w:rsidRPr="00221249">
        <w:rPr>
          <w:color w:val="262626" w:themeColor="text1" w:themeTint="D9"/>
          <w:sz w:val="20"/>
          <w:szCs w:val="20"/>
        </w:rPr>
        <w:t xml:space="preserve"> services ou produits annexes gratuits (assurance « casse », traitement des verres, étui rigide…).</w:t>
      </w:r>
    </w:p>
    <w:p w:rsidR="00415E08" w:rsidRDefault="00415E08" w:rsidP="00FA6EF4">
      <w:pPr>
        <w:pStyle w:val="Textedebase"/>
        <w:ind w:left="0"/>
        <w:jc w:val="left"/>
        <w:rPr>
          <w:color w:val="auto"/>
        </w:rPr>
      </w:pPr>
    </w:p>
    <w:p w:rsidR="00415E08" w:rsidRDefault="00415E08" w:rsidP="00511DC1">
      <w:pPr>
        <w:pStyle w:val="Textedebase"/>
        <w:ind w:left="0"/>
        <w:rPr>
          <w:color w:val="auto"/>
        </w:rPr>
        <w:sectPr w:rsidR="00415E08" w:rsidSect="00415E08">
          <w:type w:val="continuous"/>
          <w:pgSz w:w="11906" w:h="16838"/>
          <w:pgMar w:top="1928" w:right="1418" w:bottom="1135" w:left="1418" w:header="709" w:footer="709" w:gutter="0"/>
          <w:cols w:num="2" w:space="282"/>
          <w:docGrid w:linePitch="360"/>
        </w:sectPr>
      </w:pPr>
    </w:p>
    <w:p w:rsidR="00511DC1" w:rsidRDefault="00511DC1" w:rsidP="00511DC1">
      <w:pPr>
        <w:pStyle w:val="Textedebase"/>
        <w:ind w:left="0"/>
        <w:rPr>
          <w:color w:val="auto"/>
        </w:rPr>
      </w:pPr>
    </w:p>
    <w:p w:rsidR="0004043E" w:rsidRPr="00415E08" w:rsidRDefault="0004043E" w:rsidP="00C020D6">
      <w:pPr>
        <w:pStyle w:val="Textedebase"/>
        <w:numPr>
          <w:ilvl w:val="0"/>
          <w:numId w:val="6"/>
        </w:numPr>
        <w:ind w:left="567"/>
        <w:rPr>
          <w:i/>
          <w:color w:val="17365D" w:themeColor="text2" w:themeShade="BF"/>
          <w:sz w:val="22"/>
          <w:szCs w:val="22"/>
        </w:rPr>
      </w:pPr>
      <w:r w:rsidRPr="00415E08">
        <w:rPr>
          <w:b/>
          <w:i/>
          <w:color w:val="17365D" w:themeColor="text2" w:themeShade="BF"/>
          <w:sz w:val="22"/>
          <w:szCs w:val="22"/>
        </w:rPr>
        <w:t xml:space="preserve">Le </w:t>
      </w:r>
      <w:r w:rsidR="006C4EB8" w:rsidRPr="00415E08">
        <w:rPr>
          <w:b/>
          <w:i/>
          <w:color w:val="17365D" w:themeColor="text2" w:themeShade="BF"/>
          <w:sz w:val="22"/>
          <w:szCs w:val="22"/>
        </w:rPr>
        <w:t xml:space="preserve">dispositif du conventionnement </w:t>
      </w:r>
      <w:r w:rsidR="00FB0C71" w:rsidRPr="00415E08">
        <w:rPr>
          <w:b/>
          <w:i/>
          <w:color w:val="17365D" w:themeColor="text2" w:themeShade="BF"/>
          <w:sz w:val="22"/>
          <w:szCs w:val="22"/>
        </w:rPr>
        <w:t>a permis</w:t>
      </w:r>
      <w:r w:rsidR="003942DB" w:rsidRPr="00415E08">
        <w:rPr>
          <w:b/>
          <w:i/>
          <w:color w:val="17365D" w:themeColor="text2" w:themeShade="BF"/>
          <w:sz w:val="22"/>
          <w:szCs w:val="22"/>
        </w:rPr>
        <w:t xml:space="preserve"> de réguler les prix des optiques de vue</w:t>
      </w:r>
    </w:p>
    <w:p w:rsidR="00415E08" w:rsidRDefault="00415E08" w:rsidP="00415E08">
      <w:pPr>
        <w:pStyle w:val="Paragraphedeliste"/>
        <w:spacing w:after="120" w:line="240" w:lineRule="auto"/>
        <w:ind w:left="0"/>
        <w:rPr>
          <w:color w:val="262626" w:themeColor="text1" w:themeTint="D9"/>
          <w:sz w:val="20"/>
          <w:szCs w:val="20"/>
        </w:rPr>
        <w:sectPr w:rsidR="00415E08" w:rsidSect="00415E08">
          <w:type w:val="continuous"/>
          <w:pgSz w:w="11906" w:h="16838"/>
          <w:pgMar w:top="1928" w:right="1418" w:bottom="1135" w:left="993" w:header="709" w:footer="709" w:gutter="0"/>
          <w:cols w:space="708"/>
          <w:docGrid w:linePitch="360"/>
        </w:sectPr>
      </w:pPr>
    </w:p>
    <w:p w:rsidR="00415E08" w:rsidRDefault="00FB0C71" w:rsidP="00FA6EF4">
      <w:pPr>
        <w:pStyle w:val="Paragraphedeliste"/>
        <w:spacing w:after="120"/>
        <w:ind w:left="142"/>
        <w:jc w:val="left"/>
        <w:rPr>
          <w:color w:val="262626" w:themeColor="text1" w:themeTint="D9"/>
          <w:sz w:val="20"/>
          <w:szCs w:val="20"/>
        </w:rPr>
      </w:pPr>
      <w:r w:rsidRPr="00415E08">
        <w:rPr>
          <w:color w:val="262626" w:themeColor="text1" w:themeTint="D9"/>
          <w:sz w:val="20"/>
          <w:szCs w:val="20"/>
        </w:rPr>
        <w:lastRenderedPageBreak/>
        <w:t xml:space="preserve">Le conventionnement ne permet pas seulement de réguler les prix au sein des magasins adhérents ; il contribue également à la régulation des prix de l’ensemble du secteur grâce au jeu de la concurrence. </w:t>
      </w:r>
    </w:p>
    <w:p w:rsidR="00415E08" w:rsidRPr="0003685B" w:rsidRDefault="00FB0C71" w:rsidP="00FA6EF4">
      <w:pPr>
        <w:pStyle w:val="Paragraphedeliste"/>
        <w:spacing w:after="120"/>
        <w:ind w:left="142"/>
        <w:jc w:val="left"/>
        <w:rPr>
          <w:color w:val="262626" w:themeColor="text1" w:themeTint="D9"/>
          <w:sz w:val="20"/>
          <w:szCs w:val="20"/>
        </w:rPr>
        <w:sectPr w:rsidR="00415E08" w:rsidRPr="0003685B" w:rsidSect="00987897">
          <w:type w:val="continuous"/>
          <w:pgSz w:w="11906" w:h="16838"/>
          <w:pgMar w:top="1928" w:right="1418" w:bottom="1135" w:left="1418" w:header="709" w:footer="709" w:gutter="0"/>
          <w:cols w:num="2" w:space="141"/>
          <w:docGrid w:linePitch="360"/>
        </w:sectPr>
      </w:pPr>
      <w:r w:rsidRPr="00415E08">
        <w:rPr>
          <w:color w:val="262626" w:themeColor="text1" w:themeTint="D9"/>
          <w:sz w:val="20"/>
          <w:szCs w:val="20"/>
        </w:rPr>
        <w:lastRenderedPageBreak/>
        <w:t>En 2010 et 2011, années où les réseaux sont montés en puissance, l’indice des prix des lunettes de vue n’a quasiment pas progressé tandis que</w:t>
      </w:r>
      <w:r w:rsidR="007C3F39">
        <w:rPr>
          <w:color w:val="262626" w:themeColor="text1" w:themeTint="D9"/>
          <w:sz w:val="20"/>
          <w:szCs w:val="20"/>
        </w:rPr>
        <w:t xml:space="preserve"> la progression</w:t>
      </w:r>
      <w:r w:rsidRPr="00415E08">
        <w:rPr>
          <w:color w:val="262626" w:themeColor="text1" w:themeTint="D9"/>
          <w:sz w:val="20"/>
          <w:szCs w:val="20"/>
        </w:rPr>
        <w:t xml:space="preserve"> des prix à la </w:t>
      </w:r>
      <w:r w:rsidR="007C3F39">
        <w:rPr>
          <w:color w:val="262626" w:themeColor="text1" w:themeTint="D9"/>
          <w:sz w:val="20"/>
          <w:szCs w:val="20"/>
        </w:rPr>
        <w:t>consommation en France s’est elle</w:t>
      </w:r>
      <w:r w:rsidRPr="00415E08">
        <w:rPr>
          <w:color w:val="262626" w:themeColor="text1" w:themeTint="D9"/>
          <w:sz w:val="20"/>
          <w:szCs w:val="20"/>
        </w:rPr>
        <w:t xml:space="preserve"> accéléré</w:t>
      </w:r>
      <w:r w:rsidR="007C3F39">
        <w:rPr>
          <w:color w:val="262626" w:themeColor="text1" w:themeTint="D9"/>
          <w:sz w:val="20"/>
          <w:szCs w:val="20"/>
        </w:rPr>
        <w:t>e</w:t>
      </w:r>
      <w:r w:rsidRPr="00415E08">
        <w:rPr>
          <w:color w:val="262626" w:themeColor="text1" w:themeTint="D9"/>
          <w:sz w:val="20"/>
          <w:szCs w:val="20"/>
        </w:rPr>
        <w:t>.</w:t>
      </w:r>
    </w:p>
    <w:p w:rsidR="00415E08" w:rsidRDefault="00F86138" w:rsidP="00655C9A">
      <w:pPr>
        <w:pStyle w:val="Titre1"/>
        <w:rPr>
          <w:color w:val="632423" w:themeColor="accent2" w:themeShade="80"/>
        </w:rPr>
      </w:pPr>
      <w:r>
        <w:rPr>
          <w:noProof/>
          <w:color w:val="632423" w:themeColor="accent2" w:themeShade="80"/>
          <w:lang w:eastAsia="fr-FR"/>
        </w:rPr>
        <w:lastRenderedPageBreak/>
        <w:pict>
          <v:rect id="_x0000_s1038" style="position:absolute;left:0;text-align:left;margin-left:-54.9pt;margin-top:14.6pt;width:600pt;height:100.5pt;z-index:251669504;v-text-anchor:middle" fillcolor="#f2f2f2 [3052]" strokecolor="#272727 [2749]" strokeweight="1pt">
            <v:stroke dashstyle="1 1" endcap="round"/>
            <v:textbox style="mso-next-textbox:#_x0000_s1038">
              <w:txbxContent>
                <w:p w:rsidR="00144D6D" w:rsidRDefault="00144D6D" w:rsidP="00987897">
                  <w:pPr>
                    <w:tabs>
                      <w:tab w:val="left" w:pos="3261"/>
                      <w:tab w:val="left" w:pos="6237"/>
                    </w:tabs>
                    <w:spacing w:after="120" w:line="240" w:lineRule="auto"/>
                    <w:ind w:left="1418"/>
                    <w:rPr>
                      <w:b/>
                      <w:color w:val="262626" w:themeColor="text1" w:themeTint="D9"/>
                      <w:sz w:val="18"/>
                      <w:szCs w:val="18"/>
                    </w:rPr>
                  </w:pPr>
                  <w:r w:rsidRPr="00987897">
                    <w:rPr>
                      <w:b/>
                      <w:color w:val="262626" w:themeColor="text1" w:themeTint="D9"/>
                      <w:sz w:val="18"/>
                      <w:szCs w:val="18"/>
                    </w:rPr>
                    <w:t>Partie 1</w:t>
                  </w:r>
                </w:p>
                <w:p w:rsidR="00144D6D" w:rsidRPr="00987897" w:rsidRDefault="00144D6D" w:rsidP="00987897">
                  <w:pPr>
                    <w:tabs>
                      <w:tab w:val="left" w:pos="3261"/>
                      <w:tab w:val="left" w:pos="6237"/>
                    </w:tabs>
                    <w:spacing w:after="120" w:line="240" w:lineRule="auto"/>
                    <w:ind w:left="1418" w:right="2456"/>
                    <w:jc w:val="left"/>
                    <w:rPr>
                      <w:color w:val="7A003C"/>
                      <w:sz w:val="52"/>
                      <w:szCs w:val="52"/>
                    </w:rPr>
                  </w:pPr>
                  <w:r w:rsidRPr="00987897">
                    <w:rPr>
                      <w:b/>
                      <w:color w:val="7A003C"/>
                      <w:sz w:val="52"/>
                      <w:szCs w:val="52"/>
                    </w:rPr>
                    <w:t>La croissance des dépenses de santé doit être régulée</w:t>
                  </w:r>
                </w:p>
              </w:txbxContent>
            </v:textbox>
          </v:rect>
        </w:pict>
      </w:r>
    </w:p>
    <w:p w:rsidR="00415E08" w:rsidRDefault="00415E08" w:rsidP="00655C9A">
      <w:pPr>
        <w:pStyle w:val="Titre1"/>
        <w:rPr>
          <w:color w:val="632423" w:themeColor="accent2" w:themeShade="80"/>
        </w:rPr>
      </w:pPr>
    </w:p>
    <w:p w:rsidR="00E11DB6" w:rsidRDefault="00E11DB6" w:rsidP="00E11DB6">
      <w:pPr>
        <w:rPr>
          <w:rFonts w:eastAsiaTheme="majorEastAsia" w:cstheme="majorBidi"/>
          <w:b/>
          <w:bCs/>
          <w:color w:val="632423" w:themeColor="accent2" w:themeShade="80"/>
          <w:sz w:val="36"/>
          <w:szCs w:val="28"/>
        </w:rPr>
      </w:pPr>
    </w:p>
    <w:p w:rsidR="0003685B" w:rsidRPr="00E11DB6" w:rsidRDefault="0003685B" w:rsidP="00E11DB6"/>
    <w:p w:rsidR="00655C9A" w:rsidRPr="00251457" w:rsidRDefault="00987897" w:rsidP="00987897">
      <w:pPr>
        <w:pStyle w:val="Titre2"/>
        <w:keepNext w:val="0"/>
        <w:keepLines w:val="0"/>
        <w:spacing w:before="0" w:after="120"/>
        <w:ind w:right="-709"/>
        <w:rPr>
          <w:color w:val="1F497D" w:themeColor="text2"/>
        </w:rPr>
      </w:pPr>
      <w:r w:rsidRPr="00987897">
        <w:rPr>
          <w:rFonts w:eastAsiaTheme="minorHAnsi" w:cstheme="minorBidi"/>
          <w:bCs w:val="0"/>
          <w:color w:val="7A003C"/>
          <w:sz w:val="18"/>
          <w:szCs w:val="18"/>
        </w:rPr>
        <w:t>[1.1]</w:t>
      </w:r>
      <w:r w:rsidRPr="00987897">
        <w:rPr>
          <w:rFonts w:eastAsiaTheme="minorHAnsi" w:cstheme="minorBidi"/>
          <w:bCs w:val="0"/>
          <w:color w:val="7A003C"/>
          <w:sz w:val="18"/>
          <w:szCs w:val="18"/>
        </w:rPr>
        <w:tab/>
      </w:r>
      <w:r w:rsidR="00655C9A" w:rsidRPr="002F269C">
        <w:rPr>
          <w:i/>
          <w:color w:val="17365D" w:themeColor="text2" w:themeShade="BF"/>
          <w:sz w:val="28"/>
          <w:szCs w:val="28"/>
        </w:rPr>
        <w:t>A terme, l’équilibre des finances publiques doit être assuré</w:t>
      </w:r>
    </w:p>
    <w:p w:rsidR="00655C9A" w:rsidRPr="00251457" w:rsidRDefault="00655C9A" w:rsidP="00655C9A">
      <w:pPr>
        <w:rPr>
          <w:color w:val="0D0D0D" w:themeColor="text1" w:themeTint="F2"/>
        </w:rPr>
      </w:pPr>
    </w:p>
    <w:p w:rsidR="00621120" w:rsidRPr="00FA6EF4" w:rsidRDefault="00655C9A" w:rsidP="00621120">
      <w:pPr>
        <w:pStyle w:val="Titre3"/>
        <w:keepNext w:val="0"/>
        <w:keepLines w:val="0"/>
        <w:numPr>
          <w:ilvl w:val="2"/>
          <w:numId w:val="0"/>
        </w:numPr>
        <w:spacing w:before="0" w:after="120"/>
        <w:rPr>
          <w:rFonts w:asciiTheme="minorHAnsi" w:hAnsiTheme="minorHAnsi"/>
          <w:color w:val="262626" w:themeColor="text1" w:themeTint="D9"/>
        </w:rPr>
      </w:pPr>
      <w:bookmarkStart w:id="0" w:name="_Toc327450693"/>
      <w:r w:rsidRPr="00FA6EF4">
        <w:rPr>
          <w:rFonts w:asciiTheme="minorHAnsi" w:hAnsiTheme="minorHAnsi"/>
          <w:color w:val="262626" w:themeColor="text1" w:themeTint="D9"/>
        </w:rPr>
        <w:t>L’assainissement des comptes publics va se poursuivre au moins jusqu’en 2017</w:t>
      </w:r>
      <w:bookmarkEnd w:id="0"/>
    </w:p>
    <w:p w:rsidR="00987897" w:rsidRDefault="00987897" w:rsidP="00655C9A">
      <w:pPr>
        <w:pStyle w:val="Textedebase"/>
        <w:ind w:left="0"/>
        <w:rPr>
          <w:color w:val="0D0D0D" w:themeColor="text1" w:themeTint="F2"/>
        </w:rPr>
        <w:sectPr w:rsidR="00987897" w:rsidSect="00415E08">
          <w:type w:val="continuous"/>
          <w:pgSz w:w="11906" w:h="16838"/>
          <w:pgMar w:top="1928" w:right="1418" w:bottom="1135" w:left="993" w:header="709" w:footer="709" w:gutter="0"/>
          <w:cols w:space="708"/>
          <w:docGrid w:linePitch="360"/>
        </w:sectPr>
      </w:pPr>
    </w:p>
    <w:p w:rsidR="00655C9A" w:rsidRPr="00FA6EF4" w:rsidRDefault="00655C9A" w:rsidP="0003685B">
      <w:pPr>
        <w:pStyle w:val="Textedebase"/>
        <w:ind w:left="0" w:right="283"/>
        <w:jc w:val="left"/>
      </w:pPr>
      <w:r w:rsidRPr="00FA6EF4">
        <w:lastRenderedPageBreak/>
        <w:t xml:space="preserve">En 2011, le déficit public s’est établi à 5,2% du PIB. C’est sensiblement moins qu’en 2010 (7,1% du PIB) mais il s’agit toujours d’un niveau </w:t>
      </w:r>
      <w:r w:rsidR="00295BA4">
        <w:t xml:space="preserve">de déficit </w:t>
      </w:r>
      <w:r w:rsidRPr="00FA6EF4">
        <w:t xml:space="preserve">exceptionnellement élevé. </w:t>
      </w:r>
    </w:p>
    <w:p w:rsidR="00655C9A" w:rsidRPr="00FA6EF4" w:rsidRDefault="00655C9A" w:rsidP="0003685B">
      <w:pPr>
        <w:pStyle w:val="Textedebase"/>
        <w:ind w:left="0" w:right="283"/>
        <w:jc w:val="left"/>
      </w:pPr>
      <w:r w:rsidRPr="00FA6EF4">
        <w:t xml:space="preserve">Une perte de confiance des créanciers de l’Etat français se traduirait par une hausse des taux d’emprunt. Cette hausse pèserait sur la charge de la dette, ce qui générerait un véritable effet boule de neige. C’est pour prévenir cet emballement que le Gouvernement souhaite assurer les créanciers de la solvabilité de l’Etat en respectant des objectifs ambitieux de réduction des déficits (3% du PIB en 2013). </w:t>
      </w:r>
    </w:p>
    <w:p w:rsidR="0003685B" w:rsidRPr="00FA6EF4" w:rsidRDefault="0003685B" w:rsidP="0003685B">
      <w:pPr>
        <w:pStyle w:val="Textedebase"/>
        <w:ind w:left="0" w:right="283"/>
        <w:jc w:val="left"/>
      </w:pPr>
    </w:p>
    <w:p w:rsidR="00987897" w:rsidRPr="00FA6EF4" w:rsidRDefault="00F86138" w:rsidP="00987897">
      <w:pPr>
        <w:pStyle w:val="Textedebase"/>
        <w:ind w:left="0"/>
        <w:jc w:val="left"/>
      </w:pPr>
      <w:r>
        <w:rPr>
          <w:noProof/>
          <w:sz w:val="18"/>
          <w:szCs w:val="18"/>
        </w:rPr>
        <w:pict>
          <v:shapetype id="_x0000_t202" coordsize="21600,21600" o:spt="202" path="m,l,21600r21600,l21600,xe">
            <v:stroke joinstyle="miter"/>
            <v:path gradientshapeok="t" o:connecttype="rect"/>
          </v:shapetype>
          <v:shape id="_x0000_s1039" type="#_x0000_t202" style="position:absolute;margin-left:-3.45pt;margin-top:5.7pt;width:222.3pt;height:35.25pt;z-index:251671552;mso-width-relative:margin;mso-height-relative:margin" filled="f" stroked="f">
            <v:textbox>
              <w:txbxContent>
                <w:p w:rsidR="00144D6D" w:rsidRDefault="00144D6D" w:rsidP="00987897">
                  <w:pPr>
                    <w:tabs>
                      <w:tab w:val="left" w:pos="993"/>
                    </w:tabs>
                    <w:spacing w:after="0" w:line="240" w:lineRule="auto"/>
                    <w:rPr>
                      <w:color w:val="7A003C"/>
                      <w:sz w:val="18"/>
                      <w:szCs w:val="18"/>
                    </w:rPr>
                  </w:pPr>
                  <w:r w:rsidRPr="00987897">
                    <w:rPr>
                      <w:color w:val="7A003C"/>
                      <w:sz w:val="18"/>
                      <w:szCs w:val="18"/>
                    </w:rPr>
                    <w:t>Graph 1.</w:t>
                  </w:r>
                  <w:r>
                    <w:rPr>
                      <w:color w:val="7A003C"/>
                      <w:sz w:val="18"/>
                      <w:szCs w:val="18"/>
                    </w:rPr>
                    <w:tab/>
                  </w:r>
                  <w:r w:rsidRPr="00987897">
                    <w:rPr>
                      <w:b/>
                      <w:color w:val="262626" w:themeColor="text1" w:themeTint="D9"/>
                      <w:sz w:val="20"/>
                      <w:szCs w:val="20"/>
                    </w:rPr>
                    <w:t>Déficit public français</w:t>
                  </w:r>
                </w:p>
                <w:p w:rsidR="00144D6D" w:rsidRPr="00987897" w:rsidRDefault="00144D6D" w:rsidP="00987897">
                  <w:pPr>
                    <w:tabs>
                      <w:tab w:val="left" w:pos="993"/>
                    </w:tabs>
                    <w:spacing w:after="0" w:line="240" w:lineRule="auto"/>
                    <w:ind w:firstLine="708"/>
                    <w:rPr>
                      <w:i/>
                      <w:color w:val="262626" w:themeColor="text1" w:themeTint="D9"/>
                      <w:sz w:val="18"/>
                      <w:szCs w:val="18"/>
                    </w:rPr>
                  </w:pPr>
                  <w:r>
                    <w:rPr>
                      <w:color w:val="7A003C"/>
                      <w:sz w:val="18"/>
                      <w:szCs w:val="18"/>
                    </w:rPr>
                    <w:tab/>
                  </w:r>
                  <w:r w:rsidRPr="00987897">
                    <w:rPr>
                      <w:i/>
                      <w:color w:val="262626" w:themeColor="text1" w:themeTint="D9"/>
                      <w:sz w:val="18"/>
                      <w:szCs w:val="18"/>
                    </w:rPr>
                    <w:t>En pourcentage du PIB</w:t>
                  </w:r>
                </w:p>
                <w:p w:rsidR="00144D6D" w:rsidRPr="00987897" w:rsidRDefault="00144D6D">
                  <w:pPr>
                    <w:rPr>
                      <w:color w:val="7A003C"/>
                      <w:sz w:val="18"/>
                      <w:szCs w:val="18"/>
                    </w:rPr>
                  </w:pPr>
                </w:p>
              </w:txbxContent>
            </v:textbox>
          </v:shape>
        </w:pict>
      </w:r>
    </w:p>
    <w:p w:rsidR="00655C9A" w:rsidRPr="00FA6EF4" w:rsidRDefault="00655C9A" w:rsidP="0003685B">
      <w:pPr>
        <w:pStyle w:val="Textedebase"/>
        <w:ind w:left="0" w:right="283"/>
        <w:jc w:val="left"/>
      </w:pPr>
      <w:r w:rsidRPr="00FA6EF4">
        <w:lastRenderedPageBreak/>
        <w:t xml:space="preserve">Dans ce contexte, l’assainissement budgétaire est un impératif auquel seront soumises les trois administrations publiques (Etat, collectivités locales et </w:t>
      </w:r>
      <w:r w:rsidR="009676AD">
        <w:t>Sécurité sociale</w:t>
      </w:r>
      <w:r w:rsidRPr="00FA6EF4">
        <w:t xml:space="preserve">) au moins jusqu’en 2017 ; date à laquelle le </w:t>
      </w:r>
      <w:r w:rsidR="00251457" w:rsidRPr="00FA6EF4">
        <w:t>Gouvernement</w:t>
      </w:r>
      <w:r w:rsidRPr="00FA6EF4">
        <w:t xml:space="preserve"> prévoit l’équilibre des comptes.</w:t>
      </w:r>
    </w:p>
    <w:p w:rsidR="00655C9A" w:rsidRPr="00FA6EF4" w:rsidRDefault="00251457" w:rsidP="0003685B">
      <w:pPr>
        <w:pStyle w:val="Textedebase"/>
        <w:ind w:left="0" w:right="283"/>
        <w:jc w:val="left"/>
      </w:pPr>
      <w:r w:rsidRPr="00FA6EF4">
        <w:t>Lorsque</w:t>
      </w:r>
      <w:r w:rsidR="00655C9A" w:rsidRPr="00FA6EF4">
        <w:t xml:space="preserve"> l’équilibre budgétaire </w:t>
      </w:r>
      <w:r w:rsidRPr="00FA6EF4">
        <w:t>sera atteint</w:t>
      </w:r>
      <w:r w:rsidR="00655C9A" w:rsidRPr="00FA6EF4">
        <w:t xml:space="preserve">, la maîtrise des dépenses </w:t>
      </w:r>
      <w:r w:rsidRPr="00FA6EF4">
        <w:t xml:space="preserve">publiques </w:t>
      </w:r>
      <w:r w:rsidR="00655C9A" w:rsidRPr="00FA6EF4">
        <w:t>demeurera une préoccupation centrale des futurs gouvernements. Une situation financière saine, éventuellement en excédent, permettrait à l’Etat de réduire sa dépendance à l’emprunt et d’atténuer l’exposition de son budget à la volatilité des taux obligataire</w:t>
      </w:r>
      <w:r w:rsidR="00BC32B3" w:rsidRPr="00FA6EF4">
        <w:t>s</w:t>
      </w:r>
      <w:r w:rsidR="00655C9A" w:rsidRPr="00FA6EF4">
        <w:t>. Un budget équilibré</w:t>
      </w:r>
      <w:r w:rsidR="00BC32B3" w:rsidRPr="00FA6EF4">
        <w:t xml:space="preserve"> ou excédentaire</w:t>
      </w:r>
      <w:r w:rsidR="00655C9A" w:rsidRPr="00FA6EF4">
        <w:t xml:space="preserve"> donnerait en outre aux futurs gouvernements davantage de marges de manœuvre dans l’exercice de leurs politiques publiques.</w:t>
      </w:r>
    </w:p>
    <w:p w:rsidR="00987897" w:rsidRDefault="00987897" w:rsidP="00655C9A">
      <w:pPr>
        <w:pStyle w:val="Paragraphedeliste"/>
        <w:spacing w:after="0"/>
        <w:ind w:left="993"/>
        <w:jc w:val="left"/>
        <w:outlineLvl w:val="2"/>
        <w:rPr>
          <w:b/>
          <w:szCs w:val="20"/>
        </w:rPr>
        <w:sectPr w:rsidR="00987897" w:rsidSect="0003685B">
          <w:type w:val="continuous"/>
          <w:pgSz w:w="11906" w:h="16838"/>
          <w:pgMar w:top="1928" w:right="1418" w:bottom="1135" w:left="993" w:header="709" w:footer="709" w:gutter="0"/>
          <w:cols w:num="2" w:space="423"/>
          <w:docGrid w:linePitch="360"/>
        </w:sectPr>
      </w:pPr>
      <w:bookmarkStart w:id="1" w:name="_Toc327450694"/>
    </w:p>
    <w:p w:rsidR="00987897" w:rsidRDefault="0003685B" w:rsidP="00655C9A">
      <w:pPr>
        <w:pStyle w:val="Paragraphedeliste"/>
        <w:spacing w:after="0"/>
        <w:ind w:left="993"/>
        <w:jc w:val="left"/>
        <w:outlineLvl w:val="2"/>
        <w:rPr>
          <w:b/>
          <w:szCs w:val="20"/>
        </w:rPr>
      </w:pPr>
      <w:r>
        <w:rPr>
          <w:b/>
          <w:noProof/>
          <w:szCs w:val="20"/>
          <w:lang w:eastAsia="fr-FR"/>
        </w:rPr>
        <w:lastRenderedPageBreak/>
        <w:drawing>
          <wp:anchor distT="0" distB="0" distL="114300" distR="114300" simplePos="0" relativeHeight="251672576" behindDoc="0" locked="0" layoutInCell="1" allowOverlap="1">
            <wp:simplePos x="0" y="0"/>
            <wp:positionH relativeFrom="column">
              <wp:posOffset>-59055</wp:posOffset>
            </wp:positionH>
            <wp:positionV relativeFrom="paragraph">
              <wp:posOffset>83185</wp:posOffset>
            </wp:positionV>
            <wp:extent cx="3238500" cy="2162175"/>
            <wp:effectExtent l="0" t="0" r="0" b="0"/>
            <wp:wrapNone/>
            <wp:docPr id="15"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987897" w:rsidRDefault="00987897" w:rsidP="00655C9A">
      <w:pPr>
        <w:pStyle w:val="Paragraphedeliste"/>
        <w:spacing w:after="0"/>
        <w:ind w:left="993"/>
        <w:jc w:val="left"/>
        <w:outlineLvl w:val="2"/>
        <w:rPr>
          <w:b/>
          <w:szCs w:val="20"/>
        </w:rPr>
      </w:pPr>
    </w:p>
    <w:p w:rsidR="00987897" w:rsidRDefault="00987897" w:rsidP="00655C9A">
      <w:pPr>
        <w:pStyle w:val="Paragraphedeliste"/>
        <w:spacing w:after="0"/>
        <w:ind w:left="993"/>
        <w:jc w:val="left"/>
        <w:outlineLvl w:val="2"/>
        <w:rPr>
          <w:b/>
          <w:szCs w:val="20"/>
        </w:rPr>
      </w:pPr>
    </w:p>
    <w:p w:rsidR="00987897" w:rsidRDefault="00987897" w:rsidP="00655C9A">
      <w:pPr>
        <w:pStyle w:val="Paragraphedeliste"/>
        <w:spacing w:after="0"/>
        <w:ind w:left="993"/>
        <w:jc w:val="left"/>
        <w:outlineLvl w:val="2"/>
        <w:rPr>
          <w:b/>
          <w:szCs w:val="20"/>
        </w:rPr>
      </w:pPr>
    </w:p>
    <w:p w:rsidR="00987897" w:rsidRDefault="00987897" w:rsidP="00655C9A">
      <w:pPr>
        <w:pStyle w:val="Paragraphedeliste"/>
        <w:spacing w:after="0"/>
        <w:ind w:left="993"/>
        <w:jc w:val="left"/>
        <w:outlineLvl w:val="2"/>
        <w:rPr>
          <w:b/>
          <w:szCs w:val="20"/>
        </w:rPr>
      </w:pPr>
    </w:p>
    <w:p w:rsidR="00987897" w:rsidRDefault="00987897" w:rsidP="00655C9A">
      <w:pPr>
        <w:pStyle w:val="Paragraphedeliste"/>
        <w:spacing w:after="0"/>
        <w:ind w:left="993"/>
        <w:jc w:val="left"/>
        <w:outlineLvl w:val="2"/>
        <w:rPr>
          <w:b/>
          <w:szCs w:val="20"/>
        </w:rPr>
      </w:pPr>
    </w:p>
    <w:p w:rsidR="00987897" w:rsidRDefault="00987897" w:rsidP="00655C9A">
      <w:pPr>
        <w:pStyle w:val="Paragraphedeliste"/>
        <w:spacing w:after="0"/>
        <w:ind w:left="993"/>
        <w:jc w:val="left"/>
        <w:outlineLvl w:val="2"/>
        <w:rPr>
          <w:b/>
          <w:szCs w:val="20"/>
        </w:rPr>
      </w:pPr>
    </w:p>
    <w:p w:rsidR="00987897" w:rsidRDefault="00987897" w:rsidP="00655C9A">
      <w:pPr>
        <w:pStyle w:val="Paragraphedeliste"/>
        <w:spacing w:after="0"/>
        <w:ind w:left="993"/>
        <w:jc w:val="left"/>
        <w:outlineLvl w:val="2"/>
        <w:rPr>
          <w:b/>
          <w:szCs w:val="20"/>
        </w:rPr>
      </w:pPr>
    </w:p>
    <w:p w:rsidR="00987897" w:rsidRDefault="00987897" w:rsidP="00655C9A">
      <w:pPr>
        <w:pStyle w:val="Paragraphedeliste"/>
        <w:spacing w:after="0"/>
        <w:ind w:left="993"/>
        <w:jc w:val="left"/>
        <w:outlineLvl w:val="2"/>
        <w:rPr>
          <w:b/>
          <w:szCs w:val="20"/>
        </w:rPr>
      </w:pPr>
    </w:p>
    <w:p w:rsidR="00987897" w:rsidRDefault="00987897" w:rsidP="00655C9A">
      <w:pPr>
        <w:pStyle w:val="Paragraphedeliste"/>
        <w:spacing w:after="0"/>
        <w:ind w:left="993"/>
        <w:jc w:val="left"/>
        <w:outlineLvl w:val="2"/>
        <w:rPr>
          <w:b/>
          <w:szCs w:val="20"/>
        </w:rPr>
      </w:pPr>
    </w:p>
    <w:p w:rsidR="00987897" w:rsidRDefault="00987897" w:rsidP="00655C9A">
      <w:pPr>
        <w:pStyle w:val="Paragraphedeliste"/>
        <w:spacing w:after="0"/>
        <w:ind w:left="993"/>
        <w:jc w:val="left"/>
        <w:outlineLvl w:val="2"/>
        <w:rPr>
          <w:b/>
          <w:szCs w:val="20"/>
        </w:rPr>
      </w:pPr>
    </w:p>
    <w:p w:rsidR="00655C9A" w:rsidRDefault="00655C9A" w:rsidP="00655C9A">
      <w:pPr>
        <w:pStyle w:val="Paragraphedeliste"/>
        <w:spacing w:after="0"/>
        <w:ind w:left="993"/>
        <w:jc w:val="left"/>
        <w:outlineLvl w:val="2"/>
        <w:rPr>
          <w:b/>
          <w:szCs w:val="20"/>
        </w:rPr>
      </w:pPr>
    </w:p>
    <w:bookmarkEnd w:id="1"/>
    <w:p w:rsidR="00655C9A" w:rsidRDefault="00F86138" w:rsidP="00655C9A">
      <w:pPr>
        <w:pStyle w:val="Paragraphedeliste"/>
        <w:spacing w:after="0"/>
        <w:ind w:left="0"/>
        <w:jc w:val="left"/>
        <w:outlineLvl w:val="2"/>
        <w:rPr>
          <w:color w:val="0D0D0D" w:themeColor="text1" w:themeTint="F2"/>
          <w:szCs w:val="20"/>
        </w:rPr>
      </w:pPr>
      <w:r>
        <w:rPr>
          <w:b/>
          <w:noProof/>
          <w:szCs w:val="20"/>
          <w:lang w:eastAsia="fr-FR"/>
        </w:rPr>
        <w:pict>
          <v:shape id="_x0000_s1040" type="#_x0000_t202" style="position:absolute;margin-left:-5.7pt;margin-top:-.25pt;width:254.55pt;height:22.5pt;z-index:251673600;mso-width-relative:margin;mso-height-relative:margin;v-text-anchor:middle" filled="f" stroked="f">
            <v:textbox>
              <w:txbxContent>
                <w:p w:rsidR="00144D6D" w:rsidRPr="00E11DB6" w:rsidRDefault="00144D6D" w:rsidP="00E11DB6">
                  <w:pPr>
                    <w:spacing w:after="0" w:line="240" w:lineRule="auto"/>
                    <w:jc w:val="left"/>
                    <w:rPr>
                      <w:color w:val="262626" w:themeColor="text1" w:themeTint="D9"/>
                      <w:sz w:val="18"/>
                      <w:szCs w:val="18"/>
                    </w:rPr>
                  </w:pPr>
                  <w:r w:rsidRPr="00E11DB6">
                    <w:rPr>
                      <w:color w:val="262626" w:themeColor="text1" w:themeTint="D9"/>
                      <w:sz w:val="18"/>
                      <w:szCs w:val="18"/>
                    </w:rPr>
                    <w:t>Sources : Insee ; programme pré</w:t>
                  </w:r>
                  <w:r>
                    <w:rPr>
                      <w:color w:val="262626" w:themeColor="text1" w:themeTint="D9"/>
                      <w:sz w:val="18"/>
                      <w:szCs w:val="18"/>
                    </w:rPr>
                    <w:t>sidentielle de François Hollande</w:t>
                  </w:r>
                </w:p>
                <w:p w:rsidR="00144D6D" w:rsidRPr="00E11DB6" w:rsidRDefault="00144D6D" w:rsidP="00E11DB6">
                  <w:pPr>
                    <w:jc w:val="left"/>
                    <w:rPr>
                      <w:color w:val="262626" w:themeColor="text1" w:themeTint="D9"/>
                      <w:sz w:val="18"/>
                      <w:szCs w:val="18"/>
                    </w:rPr>
                  </w:pPr>
                </w:p>
              </w:txbxContent>
            </v:textbox>
          </v:shape>
        </w:pict>
      </w:r>
    </w:p>
    <w:p w:rsidR="00987897" w:rsidRDefault="00987897" w:rsidP="00655C9A">
      <w:pPr>
        <w:pStyle w:val="Paragraphedeliste"/>
        <w:spacing w:after="0"/>
        <w:ind w:left="0"/>
        <w:jc w:val="left"/>
        <w:outlineLvl w:val="2"/>
        <w:rPr>
          <w:color w:val="0D0D0D" w:themeColor="text1" w:themeTint="F2"/>
          <w:szCs w:val="20"/>
        </w:rPr>
      </w:pPr>
    </w:p>
    <w:p w:rsidR="00987897" w:rsidRDefault="00987897" w:rsidP="00655C9A">
      <w:pPr>
        <w:pStyle w:val="Paragraphedeliste"/>
        <w:spacing w:after="0"/>
        <w:ind w:left="0"/>
        <w:jc w:val="left"/>
        <w:outlineLvl w:val="2"/>
        <w:rPr>
          <w:color w:val="0D0D0D" w:themeColor="text1" w:themeTint="F2"/>
          <w:szCs w:val="20"/>
        </w:rPr>
      </w:pPr>
    </w:p>
    <w:p w:rsidR="00EF38B9" w:rsidRPr="0003685B" w:rsidRDefault="0003685B" w:rsidP="0003685B">
      <w:pPr>
        <w:rPr>
          <w:color w:val="262626" w:themeColor="text1" w:themeTint="D9"/>
          <w:sz w:val="20"/>
          <w:szCs w:val="20"/>
        </w:rPr>
      </w:pPr>
      <w:r w:rsidRPr="0003685B">
        <w:rPr>
          <w:color w:val="262626" w:themeColor="text1" w:themeTint="D9"/>
          <w:sz w:val="20"/>
          <w:szCs w:val="20"/>
        </w:rPr>
        <w:t xml:space="preserve">Depuis </w:t>
      </w:r>
      <w:r w:rsidR="00EF38B9" w:rsidRPr="0003685B">
        <w:rPr>
          <w:color w:val="262626" w:themeColor="text1" w:themeTint="D9"/>
          <w:sz w:val="20"/>
          <w:szCs w:val="20"/>
        </w:rPr>
        <w:t>2003, les dépenses des administration</w:t>
      </w:r>
      <w:r w:rsidRPr="0003685B">
        <w:rPr>
          <w:color w:val="262626" w:themeColor="text1" w:themeTint="D9"/>
          <w:sz w:val="20"/>
          <w:szCs w:val="20"/>
        </w:rPr>
        <w:t xml:space="preserve">s de </w:t>
      </w:r>
      <w:r w:rsidR="009676AD">
        <w:rPr>
          <w:color w:val="262626" w:themeColor="text1" w:themeTint="D9"/>
          <w:sz w:val="20"/>
          <w:szCs w:val="20"/>
        </w:rPr>
        <w:t>Sécurité sociale</w:t>
      </w:r>
      <w:r w:rsidRPr="0003685B">
        <w:rPr>
          <w:color w:val="262626" w:themeColor="text1" w:themeTint="D9"/>
          <w:sz w:val="20"/>
          <w:szCs w:val="20"/>
        </w:rPr>
        <w:t xml:space="preserve"> excédent celles de l’Etat</w:t>
      </w:r>
      <w:r>
        <w:rPr>
          <w:color w:val="262626" w:themeColor="text1" w:themeTint="D9"/>
          <w:sz w:val="20"/>
          <w:szCs w:val="20"/>
        </w:rPr>
        <w:t>.</w:t>
      </w:r>
      <w:r w:rsidR="00EF38B9">
        <w:tab/>
      </w:r>
    </w:p>
    <w:p w:rsidR="008A7365" w:rsidRDefault="00F86138" w:rsidP="00655C9A">
      <w:r>
        <w:rPr>
          <w:noProof/>
          <w:lang w:eastAsia="fr-FR"/>
        </w:rPr>
        <w:pict>
          <v:shape id="_x0000_s1041" type="#_x0000_t202" style="position:absolute;left:0;text-align:left;margin-left:-11.7pt;margin-top:.35pt;width:268.05pt;height:35.25pt;z-index:251674624;mso-width-relative:margin;mso-height-relative:margin" filled="f" stroked="f">
            <v:textbox>
              <w:txbxContent>
                <w:p w:rsidR="00144D6D" w:rsidRDefault="00144D6D" w:rsidP="00E11DB6">
                  <w:pPr>
                    <w:tabs>
                      <w:tab w:val="left" w:pos="993"/>
                    </w:tabs>
                    <w:spacing w:after="0" w:line="240" w:lineRule="auto"/>
                    <w:rPr>
                      <w:color w:val="7A003C"/>
                      <w:sz w:val="18"/>
                      <w:szCs w:val="18"/>
                    </w:rPr>
                  </w:pPr>
                  <w:r>
                    <w:rPr>
                      <w:color w:val="7A003C"/>
                      <w:sz w:val="18"/>
                      <w:szCs w:val="18"/>
                    </w:rPr>
                    <w:t>Graph 2</w:t>
                  </w:r>
                  <w:r w:rsidRPr="00987897">
                    <w:rPr>
                      <w:color w:val="7A003C"/>
                      <w:sz w:val="18"/>
                      <w:szCs w:val="18"/>
                    </w:rPr>
                    <w:t>.</w:t>
                  </w:r>
                  <w:r>
                    <w:rPr>
                      <w:color w:val="7A003C"/>
                      <w:sz w:val="18"/>
                      <w:szCs w:val="18"/>
                    </w:rPr>
                    <w:tab/>
                  </w:r>
                  <w:r>
                    <w:rPr>
                      <w:b/>
                      <w:color w:val="262626" w:themeColor="text1" w:themeTint="D9"/>
                      <w:sz w:val="20"/>
                      <w:szCs w:val="20"/>
                    </w:rPr>
                    <w:t>Dépenses des trois administrations publiques</w:t>
                  </w:r>
                </w:p>
                <w:p w:rsidR="00144D6D" w:rsidRPr="00987897" w:rsidRDefault="00144D6D" w:rsidP="00E11DB6">
                  <w:pPr>
                    <w:tabs>
                      <w:tab w:val="left" w:pos="993"/>
                    </w:tabs>
                    <w:spacing w:after="0" w:line="240" w:lineRule="auto"/>
                    <w:ind w:firstLine="708"/>
                    <w:rPr>
                      <w:i/>
                      <w:color w:val="262626" w:themeColor="text1" w:themeTint="D9"/>
                      <w:sz w:val="18"/>
                      <w:szCs w:val="18"/>
                    </w:rPr>
                  </w:pPr>
                  <w:r>
                    <w:rPr>
                      <w:color w:val="7A003C"/>
                      <w:sz w:val="18"/>
                      <w:szCs w:val="18"/>
                    </w:rPr>
                    <w:tab/>
                  </w:r>
                  <w:r w:rsidRPr="00987897">
                    <w:rPr>
                      <w:i/>
                      <w:color w:val="262626" w:themeColor="text1" w:themeTint="D9"/>
                      <w:sz w:val="18"/>
                      <w:szCs w:val="18"/>
                    </w:rPr>
                    <w:t xml:space="preserve">En </w:t>
                  </w:r>
                  <w:r>
                    <w:rPr>
                      <w:i/>
                      <w:color w:val="262626" w:themeColor="text1" w:themeTint="D9"/>
                      <w:sz w:val="18"/>
                      <w:szCs w:val="18"/>
                    </w:rPr>
                    <w:t>milliards d’euros</w:t>
                  </w:r>
                </w:p>
                <w:p w:rsidR="00144D6D" w:rsidRPr="00987897" w:rsidRDefault="00144D6D" w:rsidP="00E11DB6">
                  <w:pPr>
                    <w:rPr>
                      <w:color w:val="7A003C"/>
                      <w:sz w:val="18"/>
                      <w:szCs w:val="18"/>
                    </w:rPr>
                  </w:pPr>
                </w:p>
              </w:txbxContent>
            </v:textbox>
          </v:shape>
        </w:pict>
      </w:r>
    </w:p>
    <w:p w:rsidR="00E11DB6" w:rsidRDefault="0003685B" w:rsidP="00655C9A">
      <w:pPr>
        <w:pStyle w:val="Textedebase"/>
        <w:spacing w:after="0" w:line="240" w:lineRule="auto"/>
        <w:ind w:left="0"/>
        <w:rPr>
          <w:b/>
          <w:color w:val="auto"/>
        </w:rPr>
      </w:pPr>
      <w:r>
        <w:rPr>
          <w:b/>
          <w:noProof/>
          <w:color w:val="auto"/>
          <w:lang w:eastAsia="fr-FR"/>
        </w:rPr>
        <w:drawing>
          <wp:anchor distT="0" distB="0" distL="114300" distR="114300" simplePos="0" relativeHeight="251675648" behindDoc="0" locked="0" layoutInCell="1" allowOverlap="1">
            <wp:simplePos x="0" y="0"/>
            <wp:positionH relativeFrom="column">
              <wp:posOffset>-220980</wp:posOffset>
            </wp:positionH>
            <wp:positionV relativeFrom="paragraph">
              <wp:posOffset>36195</wp:posOffset>
            </wp:positionV>
            <wp:extent cx="6419850" cy="2162175"/>
            <wp:effectExtent l="0" t="0" r="0" b="0"/>
            <wp:wrapNone/>
            <wp:docPr id="11"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E11DB6" w:rsidRDefault="00E11DB6" w:rsidP="00655C9A">
      <w:pPr>
        <w:pStyle w:val="Textedebase"/>
        <w:spacing w:after="0" w:line="240" w:lineRule="auto"/>
        <w:ind w:left="0"/>
        <w:rPr>
          <w:b/>
          <w:color w:val="auto"/>
        </w:rPr>
      </w:pPr>
    </w:p>
    <w:p w:rsidR="00E11DB6" w:rsidRDefault="00E11DB6" w:rsidP="00655C9A">
      <w:pPr>
        <w:pStyle w:val="Textedebase"/>
        <w:spacing w:after="0" w:line="240" w:lineRule="auto"/>
        <w:ind w:left="0"/>
        <w:rPr>
          <w:b/>
          <w:color w:val="auto"/>
        </w:rPr>
      </w:pPr>
    </w:p>
    <w:p w:rsidR="00E11DB6" w:rsidRDefault="00E11DB6" w:rsidP="00655C9A">
      <w:pPr>
        <w:pStyle w:val="Textedebase"/>
        <w:spacing w:after="0" w:line="240" w:lineRule="auto"/>
        <w:ind w:left="0"/>
        <w:rPr>
          <w:b/>
          <w:color w:val="auto"/>
        </w:rPr>
      </w:pPr>
    </w:p>
    <w:p w:rsidR="00E11DB6" w:rsidRDefault="00E11DB6" w:rsidP="00655C9A">
      <w:pPr>
        <w:pStyle w:val="Textedebase"/>
        <w:spacing w:after="0" w:line="240" w:lineRule="auto"/>
        <w:ind w:left="0"/>
        <w:rPr>
          <w:b/>
          <w:color w:val="auto"/>
        </w:rPr>
      </w:pPr>
    </w:p>
    <w:p w:rsidR="00E11DB6" w:rsidRDefault="00E11DB6" w:rsidP="00655C9A">
      <w:pPr>
        <w:pStyle w:val="Textedebase"/>
        <w:spacing w:after="0" w:line="240" w:lineRule="auto"/>
        <w:ind w:left="0"/>
        <w:rPr>
          <w:b/>
          <w:color w:val="auto"/>
        </w:rPr>
      </w:pPr>
    </w:p>
    <w:p w:rsidR="00E11DB6" w:rsidRDefault="00E11DB6" w:rsidP="00655C9A">
      <w:pPr>
        <w:pStyle w:val="Textedebase"/>
        <w:spacing w:after="0" w:line="240" w:lineRule="auto"/>
        <w:ind w:left="0"/>
        <w:rPr>
          <w:b/>
          <w:color w:val="auto"/>
        </w:rPr>
      </w:pPr>
    </w:p>
    <w:p w:rsidR="00E11DB6" w:rsidRDefault="00E11DB6" w:rsidP="00655C9A">
      <w:pPr>
        <w:pStyle w:val="Textedebase"/>
        <w:spacing w:after="0" w:line="240" w:lineRule="auto"/>
        <w:ind w:left="0"/>
        <w:rPr>
          <w:b/>
          <w:color w:val="auto"/>
        </w:rPr>
      </w:pPr>
    </w:p>
    <w:p w:rsidR="00E11DB6" w:rsidRDefault="00E11DB6" w:rsidP="00655C9A">
      <w:pPr>
        <w:pStyle w:val="Textedebase"/>
        <w:spacing w:after="0" w:line="240" w:lineRule="auto"/>
        <w:ind w:left="0"/>
        <w:rPr>
          <w:b/>
          <w:color w:val="auto"/>
        </w:rPr>
      </w:pPr>
    </w:p>
    <w:p w:rsidR="00E11DB6" w:rsidRDefault="00E11DB6" w:rsidP="00655C9A">
      <w:pPr>
        <w:pStyle w:val="Textedebase"/>
        <w:spacing w:after="0" w:line="240" w:lineRule="auto"/>
        <w:ind w:left="0"/>
        <w:rPr>
          <w:b/>
          <w:color w:val="auto"/>
        </w:rPr>
      </w:pPr>
    </w:p>
    <w:p w:rsidR="00E11DB6" w:rsidRDefault="00E11DB6" w:rsidP="00655C9A">
      <w:pPr>
        <w:pStyle w:val="Textedebase"/>
        <w:spacing w:after="0" w:line="240" w:lineRule="auto"/>
        <w:ind w:left="0"/>
        <w:rPr>
          <w:b/>
          <w:color w:val="auto"/>
        </w:rPr>
      </w:pPr>
    </w:p>
    <w:p w:rsidR="00655C9A" w:rsidRPr="00655C9A" w:rsidRDefault="00655C9A" w:rsidP="00655C9A">
      <w:pPr>
        <w:pStyle w:val="Textedebase"/>
        <w:spacing w:after="0" w:line="240" w:lineRule="auto"/>
        <w:ind w:left="0"/>
        <w:rPr>
          <w:color w:val="0D0D0D" w:themeColor="text1" w:themeTint="F2"/>
        </w:rPr>
      </w:pPr>
    </w:p>
    <w:p w:rsidR="00655C9A" w:rsidRDefault="00655C9A" w:rsidP="00655C9A">
      <w:pPr>
        <w:pStyle w:val="Textedebase"/>
        <w:spacing w:after="0" w:line="240" w:lineRule="auto"/>
        <w:ind w:left="0"/>
        <w:rPr>
          <w:color w:val="0D0D0D" w:themeColor="text1" w:themeTint="F2"/>
          <w:sz w:val="18"/>
          <w:szCs w:val="18"/>
        </w:rPr>
      </w:pPr>
      <w:r w:rsidRPr="00655C9A">
        <w:rPr>
          <w:color w:val="0D0D0D" w:themeColor="text1" w:themeTint="F2"/>
          <w:sz w:val="18"/>
          <w:szCs w:val="18"/>
        </w:rPr>
        <w:t>Source : Insee</w:t>
      </w:r>
    </w:p>
    <w:p w:rsidR="00655C9A" w:rsidRDefault="00655C9A" w:rsidP="00655C9A">
      <w:pPr>
        <w:pStyle w:val="Textedebase"/>
        <w:spacing w:after="0" w:line="240" w:lineRule="auto"/>
        <w:ind w:left="0"/>
        <w:rPr>
          <w:color w:val="0D0D0D" w:themeColor="text1" w:themeTint="F2"/>
          <w:sz w:val="18"/>
          <w:szCs w:val="18"/>
        </w:rPr>
      </w:pPr>
    </w:p>
    <w:p w:rsidR="00655C9A" w:rsidRDefault="00F86138" w:rsidP="00655C9A">
      <w:pPr>
        <w:pStyle w:val="Textedebase"/>
        <w:spacing w:after="0" w:line="240" w:lineRule="auto"/>
        <w:ind w:left="0"/>
        <w:rPr>
          <w:color w:val="0D0D0D" w:themeColor="text1" w:themeTint="F2"/>
          <w:sz w:val="18"/>
          <w:szCs w:val="18"/>
        </w:rPr>
      </w:pPr>
      <w:r>
        <w:rPr>
          <w:noProof/>
          <w:lang w:eastAsia="fr-FR"/>
        </w:rPr>
        <w:pict>
          <v:shape id="_x0000_s1042" type="#_x0000_t202" style="position:absolute;left:0;text-align:left;margin-left:-5.7pt;margin-top:8.1pt;width:254.55pt;height:22.5pt;z-index:251676672;mso-width-relative:margin;mso-height-relative:margin;v-text-anchor:middle" filled="f" stroked="f">
            <v:textbox>
              <w:txbxContent>
                <w:p w:rsidR="00144D6D" w:rsidRPr="00E11DB6" w:rsidRDefault="00144D6D" w:rsidP="00E11DB6">
                  <w:pPr>
                    <w:spacing w:after="0" w:line="240" w:lineRule="auto"/>
                    <w:jc w:val="left"/>
                    <w:rPr>
                      <w:color w:val="262626" w:themeColor="text1" w:themeTint="D9"/>
                      <w:sz w:val="18"/>
                      <w:szCs w:val="18"/>
                    </w:rPr>
                  </w:pPr>
                  <w:r>
                    <w:rPr>
                      <w:color w:val="262626" w:themeColor="text1" w:themeTint="D9"/>
                      <w:sz w:val="18"/>
                      <w:szCs w:val="18"/>
                    </w:rPr>
                    <w:t>Source : Insee</w:t>
                  </w:r>
                </w:p>
                <w:p w:rsidR="00144D6D" w:rsidRPr="00E11DB6" w:rsidRDefault="00144D6D" w:rsidP="00E11DB6">
                  <w:pPr>
                    <w:jc w:val="left"/>
                    <w:rPr>
                      <w:color w:val="262626" w:themeColor="text1" w:themeTint="D9"/>
                      <w:sz w:val="18"/>
                      <w:szCs w:val="18"/>
                    </w:rPr>
                  </w:pPr>
                </w:p>
              </w:txbxContent>
            </v:textbox>
          </v:shape>
        </w:pict>
      </w:r>
    </w:p>
    <w:p w:rsidR="00655C9A" w:rsidRDefault="00655C9A" w:rsidP="00655C9A">
      <w:pPr>
        <w:pStyle w:val="Textedebase"/>
        <w:spacing w:after="0" w:line="240" w:lineRule="auto"/>
        <w:ind w:left="0"/>
        <w:rPr>
          <w:color w:val="0D0D0D" w:themeColor="text1" w:themeTint="F2"/>
          <w:sz w:val="18"/>
          <w:szCs w:val="18"/>
        </w:rPr>
      </w:pPr>
    </w:p>
    <w:p w:rsidR="00E11DB6" w:rsidRDefault="00E11DB6" w:rsidP="00655C9A">
      <w:pPr>
        <w:pStyle w:val="Textedebase"/>
        <w:spacing w:after="0" w:line="240" w:lineRule="auto"/>
        <w:ind w:left="0"/>
        <w:rPr>
          <w:color w:val="0D0D0D" w:themeColor="text1" w:themeTint="F2"/>
          <w:sz w:val="18"/>
          <w:szCs w:val="18"/>
        </w:rPr>
      </w:pPr>
    </w:p>
    <w:p w:rsidR="00E11DB6" w:rsidRDefault="00F86138" w:rsidP="00655C9A">
      <w:pPr>
        <w:pStyle w:val="Textedebase"/>
        <w:spacing w:after="0" w:line="240" w:lineRule="auto"/>
        <w:ind w:left="0"/>
        <w:rPr>
          <w:color w:val="0D0D0D" w:themeColor="text1" w:themeTint="F2"/>
          <w:sz w:val="18"/>
          <w:szCs w:val="18"/>
        </w:rPr>
      </w:pPr>
      <w:r>
        <w:rPr>
          <w:noProof/>
          <w:color w:val="0D0D0D" w:themeColor="text1" w:themeTint="F2"/>
          <w:sz w:val="18"/>
          <w:szCs w:val="18"/>
          <w:lang w:eastAsia="fr-FR"/>
        </w:rPr>
        <w:pict>
          <v:shape id="_x0000_s1044" type="#_x0000_t202" style="position:absolute;left:0;text-align:left;margin-left:268.8pt;margin-top:1.4pt;width:234.3pt;height:35.25pt;z-index:251679744;mso-width-relative:margin;mso-height-relative:margin" filled="f" stroked="f">
            <v:textbox>
              <w:txbxContent>
                <w:p w:rsidR="00144D6D" w:rsidRDefault="00144D6D" w:rsidP="0003685B">
                  <w:pPr>
                    <w:tabs>
                      <w:tab w:val="left" w:pos="993"/>
                    </w:tabs>
                    <w:spacing w:after="0" w:line="240" w:lineRule="auto"/>
                    <w:rPr>
                      <w:color w:val="7A003C"/>
                      <w:sz w:val="18"/>
                      <w:szCs w:val="18"/>
                    </w:rPr>
                  </w:pPr>
                  <w:r>
                    <w:rPr>
                      <w:color w:val="7A003C"/>
                      <w:sz w:val="18"/>
                      <w:szCs w:val="18"/>
                    </w:rPr>
                    <w:t>Graph 4</w:t>
                  </w:r>
                  <w:r w:rsidRPr="00987897">
                    <w:rPr>
                      <w:color w:val="7A003C"/>
                      <w:sz w:val="18"/>
                      <w:szCs w:val="18"/>
                    </w:rPr>
                    <w:t>.</w:t>
                  </w:r>
                  <w:r>
                    <w:rPr>
                      <w:color w:val="7A003C"/>
                      <w:sz w:val="18"/>
                      <w:szCs w:val="18"/>
                    </w:rPr>
                    <w:tab/>
                  </w:r>
                  <w:r>
                    <w:rPr>
                      <w:b/>
                      <w:color w:val="262626" w:themeColor="text1" w:themeTint="D9"/>
                      <w:sz w:val="20"/>
                      <w:szCs w:val="20"/>
                    </w:rPr>
                    <w:t>Structure des dépenses publiques</w:t>
                  </w:r>
                </w:p>
                <w:p w:rsidR="00144D6D" w:rsidRPr="00987897" w:rsidRDefault="00144D6D" w:rsidP="0003685B">
                  <w:pPr>
                    <w:tabs>
                      <w:tab w:val="left" w:pos="993"/>
                    </w:tabs>
                    <w:spacing w:after="0" w:line="240" w:lineRule="auto"/>
                    <w:ind w:firstLine="708"/>
                    <w:rPr>
                      <w:i/>
                      <w:color w:val="262626" w:themeColor="text1" w:themeTint="D9"/>
                      <w:sz w:val="18"/>
                      <w:szCs w:val="18"/>
                    </w:rPr>
                  </w:pPr>
                  <w:r>
                    <w:rPr>
                      <w:color w:val="7A003C"/>
                      <w:sz w:val="18"/>
                      <w:szCs w:val="18"/>
                    </w:rPr>
                    <w:tab/>
                  </w:r>
                  <w:r>
                    <w:rPr>
                      <w:i/>
                      <w:color w:val="262626" w:themeColor="text1" w:themeTint="D9"/>
                      <w:sz w:val="18"/>
                      <w:szCs w:val="18"/>
                    </w:rPr>
                    <w:t>En 2011</w:t>
                  </w:r>
                </w:p>
                <w:p w:rsidR="00144D6D" w:rsidRPr="00987897" w:rsidRDefault="00144D6D" w:rsidP="0003685B">
                  <w:pPr>
                    <w:rPr>
                      <w:color w:val="7A003C"/>
                      <w:sz w:val="18"/>
                      <w:szCs w:val="18"/>
                    </w:rPr>
                  </w:pPr>
                </w:p>
              </w:txbxContent>
            </v:textbox>
          </v:shape>
        </w:pict>
      </w:r>
      <w:r>
        <w:rPr>
          <w:noProof/>
          <w:lang w:eastAsia="fr-FR"/>
        </w:rPr>
        <w:pict>
          <v:shape id="_x0000_s1043" type="#_x0000_t202" style="position:absolute;left:0;text-align:left;margin-left:.3pt;margin-top:1.4pt;width:184.8pt;height:35.25pt;z-index:251677696;mso-width-relative:margin;mso-height-relative:margin" filled="f" stroked="f">
            <v:textbox>
              <w:txbxContent>
                <w:p w:rsidR="00144D6D" w:rsidRDefault="00144D6D" w:rsidP="0003685B">
                  <w:pPr>
                    <w:tabs>
                      <w:tab w:val="left" w:pos="993"/>
                    </w:tabs>
                    <w:spacing w:after="0" w:line="240" w:lineRule="auto"/>
                    <w:rPr>
                      <w:color w:val="7A003C"/>
                      <w:sz w:val="18"/>
                      <w:szCs w:val="18"/>
                    </w:rPr>
                  </w:pPr>
                  <w:r>
                    <w:rPr>
                      <w:color w:val="7A003C"/>
                      <w:sz w:val="18"/>
                      <w:szCs w:val="18"/>
                    </w:rPr>
                    <w:t>Graph 3</w:t>
                  </w:r>
                  <w:r w:rsidRPr="00987897">
                    <w:rPr>
                      <w:color w:val="7A003C"/>
                      <w:sz w:val="18"/>
                      <w:szCs w:val="18"/>
                    </w:rPr>
                    <w:t>.</w:t>
                  </w:r>
                  <w:r>
                    <w:rPr>
                      <w:color w:val="7A003C"/>
                      <w:sz w:val="18"/>
                      <w:szCs w:val="18"/>
                    </w:rPr>
                    <w:tab/>
                  </w:r>
                  <w:r>
                    <w:rPr>
                      <w:b/>
                      <w:color w:val="262626" w:themeColor="text1" w:themeTint="D9"/>
                      <w:sz w:val="20"/>
                      <w:szCs w:val="20"/>
                    </w:rPr>
                    <w:t>Structure du déficit public</w:t>
                  </w:r>
                </w:p>
                <w:p w:rsidR="00144D6D" w:rsidRPr="00987897" w:rsidRDefault="00144D6D" w:rsidP="0003685B">
                  <w:pPr>
                    <w:tabs>
                      <w:tab w:val="left" w:pos="993"/>
                    </w:tabs>
                    <w:spacing w:after="0" w:line="240" w:lineRule="auto"/>
                    <w:ind w:firstLine="708"/>
                    <w:rPr>
                      <w:i/>
                      <w:color w:val="262626" w:themeColor="text1" w:themeTint="D9"/>
                      <w:sz w:val="18"/>
                      <w:szCs w:val="18"/>
                    </w:rPr>
                  </w:pPr>
                  <w:r>
                    <w:rPr>
                      <w:color w:val="7A003C"/>
                      <w:sz w:val="18"/>
                      <w:szCs w:val="18"/>
                    </w:rPr>
                    <w:tab/>
                  </w:r>
                  <w:r>
                    <w:rPr>
                      <w:i/>
                      <w:color w:val="262626" w:themeColor="text1" w:themeTint="D9"/>
                      <w:sz w:val="18"/>
                      <w:szCs w:val="18"/>
                    </w:rPr>
                    <w:t>En 2011</w:t>
                  </w:r>
                </w:p>
                <w:p w:rsidR="00144D6D" w:rsidRPr="00987897" w:rsidRDefault="00144D6D" w:rsidP="0003685B">
                  <w:pPr>
                    <w:rPr>
                      <w:color w:val="7A003C"/>
                      <w:sz w:val="18"/>
                      <w:szCs w:val="18"/>
                    </w:rPr>
                  </w:pPr>
                </w:p>
              </w:txbxContent>
            </v:textbox>
          </v:shape>
        </w:pict>
      </w:r>
    </w:p>
    <w:p w:rsidR="00E11DB6" w:rsidRDefault="00E11DB6" w:rsidP="00655C9A">
      <w:pPr>
        <w:pStyle w:val="Textedebase"/>
        <w:spacing w:after="0" w:line="240" w:lineRule="auto"/>
        <w:ind w:left="0"/>
        <w:rPr>
          <w:color w:val="0D0D0D" w:themeColor="text1" w:themeTint="F2"/>
          <w:sz w:val="18"/>
          <w:szCs w:val="18"/>
        </w:rPr>
      </w:pPr>
    </w:p>
    <w:p w:rsidR="00655C9A" w:rsidRDefault="00C047E1" w:rsidP="00655C9A">
      <w:pPr>
        <w:pStyle w:val="Textedebase"/>
        <w:spacing w:after="0" w:line="240" w:lineRule="auto"/>
        <w:ind w:left="0"/>
        <w:rPr>
          <w:color w:val="0D0D0D" w:themeColor="text1" w:themeTint="F2"/>
          <w:sz w:val="18"/>
          <w:szCs w:val="18"/>
        </w:rPr>
      </w:pPr>
      <w:r>
        <w:rPr>
          <w:noProof/>
          <w:color w:val="0D0D0D" w:themeColor="text1" w:themeTint="F2"/>
          <w:sz w:val="18"/>
          <w:szCs w:val="18"/>
          <w:lang w:eastAsia="fr-FR"/>
        </w:rPr>
        <w:drawing>
          <wp:anchor distT="0" distB="0" distL="114300" distR="114300" simplePos="0" relativeHeight="251680768" behindDoc="0" locked="0" layoutInCell="1" allowOverlap="1">
            <wp:simplePos x="0" y="0"/>
            <wp:positionH relativeFrom="column">
              <wp:posOffset>2379345</wp:posOffset>
            </wp:positionH>
            <wp:positionV relativeFrom="paragraph">
              <wp:posOffset>94615</wp:posOffset>
            </wp:positionV>
            <wp:extent cx="3771900" cy="2066925"/>
            <wp:effectExtent l="0" t="0" r="0" b="0"/>
            <wp:wrapNone/>
            <wp:docPr id="2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noProof/>
          <w:color w:val="0D0D0D" w:themeColor="text1" w:themeTint="F2"/>
          <w:sz w:val="18"/>
          <w:szCs w:val="18"/>
          <w:lang w:eastAsia="fr-FR"/>
        </w:rPr>
        <w:drawing>
          <wp:anchor distT="0" distB="0" distL="114300" distR="114300" simplePos="0" relativeHeight="251678720" behindDoc="0" locked="0" layoutInCell="1" allowOverlap="1">
            <wp:simplePos x="0" y="0"/>
            <wp:positionH relativeFrom="column">
              <wp:posOffset>131445</wp:posOffset>
            </wp:positionH>
            <wp:positionV relativeFrom="paragraph">
              <wp:posOffset>-635</wp:posOffset>
            </wp:positionV>
            <wp:extent cx="4095750" cy="2419350"/>
            <wp:effectExtent l="0" t="0" r="0" b="0"/>
            <wp:wrapNone/>
            <wp:docPr id="12"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03685B" w:rsidRDefault="0003685B" w:rsidP="00655C9A">
      <w:pPr>
        <w:pStyle w:val="Textedebase"/>
        <w:spacing w:after="0" w:line="240" w:lineRule="auto"/>
        <w:ind w:left="0"/>
        <w:rPr>
          <w:color w:val="0D0D0D" w:themeColor="text1" w:themeTint="F2"/>
          <w:sz w:val="18"/>
          <w:szCs w:val="18"/>
        </w:rPr>
      </w:pPr>
    </w:p>
    <w:p w:rsidR="0003685B" w:rsidRDefault="0003685B" w:rsidP="00655C9A">
      <w:pPr>
        <w:pStyle w:val="Textedebase"/>
        <w:spacing w:after="0" w:line="240" w:lineRule="auto"/>
        <w:ind w:left="0"/>
        <w:rPr>
          <w:color w:val="0D0D0D" w:themeColor="text1" w:themeTint="F2"/>
          <w:sz w:val="18"/>
          <w:szCs w:val="18"/>
        </w:rPr>
      </w:pPr>
    </w:p>
    <w:p w:rsidR="0003685B" w:rsidRDefault="0003685B" w:rsidP="00655C9A">
      <w:pPr>
        <w:pStyle w:val="Textedebase"/>
        <w:spacing w:after="0" w:line="240" w:lineRule="auto"/>
        <w:ind w:left="0"/>
        <w:rPr>
          <w:color w:val="0D0D0D" w:themeColor="text1" w:themeTint="F2"/>
          <w:sz w:val="18"/>
          <w:szCs w:val="18"/>
        </w:rPr>
      </w:pPr>
    </w:p>
    <w:p w:rsidR="0003685B" w:rsidRDefault="0003685B" w:rsidP="00655C9A">
      <w:pPr>
        <w:pStyle w:val="Textedebase"/>
        <w:spacing w:after="0" w:line="240" w:lineRule="auto"/>
        <w:ind w:left="0"/>
        <w:rPr>
          <w:color w:val="0D0D0D" w:themeColor="text1" w:themeTint="F2"/>
          <w:sz w:val="18"/>
          <w:szCs w:val="18"/>
        </w:rPr>
      </w:pPr>
    </w:p>
    <w:p w:rsidR="0003685B" w:rsidRDefault="0003685B" w:rsidP="00655C9A">
      <w:pPr>
        <w:pStyle w:val="Textedebase"/>
        <w:spacing w:after="0" w:line="240" w:lineRule="auto"/>
        <w:ind w:left="0"/>
        <w:rPr>
          <w:color w:val="0D0D0D" w:themeColor="text1" w:themeTint="F2"/>
          <w:sz w:val="18"/>
          <w:szCs w:val="18"/>
        </w:rPr>
      </w:pPr>
    </w:p>
    <w:p w:rsidR="0003685B" w:rsidRDefault="0003685B" w:rsidP="00655C9A">
      <w:pPr>
        <w:pStyle w:val="Textedebase"/>
        <w:spacing w:after="0" w:line="240" w:lineRule="auto"/>
        <w:ind w:left="0"/>
        <w:rPr>
          <w:color w:val="0D0D0D" w:themeColor="text1" w:themeTint="F2"/>
          <w:sz w:val="18"/>
          <w:szCs w:val="18"/>
        </w:rPr>
      </w:pPr>
    </w:p>
    <w:p w:rsidR="0003685B" w:rsidRDefault="0003685B" w:rsidP="00655C9A">
      <w:pPr>
        <w:pStyle w:val="Textedebase"/>
        <w:spacing w:after="0" w:line="240" w:lineRule="auto"/>
        <w:ind w:left="0"/>
        <w:rPr>
          <w:color w:val="0D0D0D" w:themeColor="text1" w:themeTint="F2"/>
          <w:sz w:val="18"/>
          <w:szCs w:val="18"/>
        </w:rPr>
      </w:pPr>
    </w:p>
    <w:p w:rsidR="0003685B" w:rsidRDefault="0003685B" w:rsidP="00655C9A">
      <w:pPr>
        <w:pStyle w:val="Textedebase"/>
        <w:spacing w:after="0" w:line="240" w:lineRule="auto"/>
        <w:ind w:left="0"/>
        <w:rPr>
          <w:color w:val="0D0D0D" w:themeColor="text1" w:themeTint="F2"/>
          <w:sz w:val="18"/>
          <w:szCs w:val="18"/>
        </w:rPr>
      </w:pPr>
    </w:p>
    <w:p w:rsidR="0003685B" w:rsidRDefault="0003685B" w:rsidP="00655C9A">
      <w:pPr>
        <w:pStyle w:val="Textedebase"/>
        <w:spacing w:after="0" w:line="240" w:lineRule="auto"/>
        <w:ind w:left="0"/>
        <w:rPr>
          <w:color w:val="0D0D0D" w:themeColor="text1" w:themeTint="F2"/>
          <w:sz w:val="18"/>
          <w:szCs w:val="18"/>
        </w:rPr>
      </w:pPr>
    </w:p>
    <w:p w:rsidR="0003685B" w:rsidRDefault="0003685B" w:rsidP="00655C9A">
      <w:pPr>
        <w:pStyle w:val="Textedebase"/>
        <w:spacing w:after="0" w:line="240" w:lineRule="auto"/>
        <w:ind w:left="0"/>
        <w:rPr>
          <w:color w:val="0D0D0D" w:themeColor="text1" w:themeTint="F2"/>
          <w:sz w:val="18"/>
          <w:szCs w:val="18"/>
        </w:rPr>
      </w:pPr>
    </w:p>
    <w:p w:rsidR="0003685B" w:rsidRDefault="0003685B" w:rsidP="00655C9A">
      <w:pPr>
        <w:pStyle w:val="Textedebase"/>
        <w:spacing w:after="0" w:line="240" w:lineRule="auto"/>
        <w:ind w:left="0"/>
        <w:rPr>
          <w:color w:val="0D0D0D" w:themeColor="text1" w:themeTint="F2"/>
          <w:sz w:val="18"/>
          <w:szCs w:val="18"/>
        </w:rPr>
      </w:pPr>
    </w:p>
    <w:p w:rsidR="0003685B" w:rsidRDefault="0003685B" w:rsidP="00655C9A">
      <w:pPr>
        <w:pStyle w:val="Textedebase"/>
        <w:spacing w:after="0" w:line="240" w:lineRule="auto"/>
        <w:ind w:left="0"/>
        <w:rPr>
          <w:color w:val="0D0D0D" w:themeColor="text1" w:themeTint="F2"/>
          <w:sz w:val="18"/>
          <w:szCs w:val="18"/>
        </w:rPr>
      </w:pPr>
    </w:p>
    <w:p w:rsidR="0003685B" w:rsidRDefault="00F86138" w:rsidP="00655C9A">
      <w:pPr>
        <w:pStyle w:val="Textedebase"/>
        <w:spacing w:after="0" w:line="240" w:lineRule="auto"/>
        <w:ind w:left="0"/>
        <w:rPr>
          <w:color w:val="0D0D0D" w:themeColor="text1" w:themeTint="F2"/>
          <w:sz w:val="18"/>
          <w:szCs w:val="18"/>
        </w:rPr>
      </w:pPr>
      <w:r>
        <w:rPr>
          <w:noProof/>
          <w:color w:val="0D0D0D" w:themeColor="text1" w:themeTint="F2"/>
          <w:sz w:val="18"/>
          <w:szCs w:val="18"/>
          <w:lang w:eastAsia="fr-FR"/>
        </w:rPr>
        <w:pict>
          <v:shape id="_x0000_s1086" type="#_x0000_t202" style="position:absolute;left:0;text-align:left;margin-left:452.85pt;margin-top:6.35pt;width:71.25pt;height:22.5pt;z-index:251737088;mso-width-relative:margin;mso-height-relative:margin;v-text-anchor:middle" filled="f" stroked="f">
            <v:textbox>
              <w:txbxContent>
                <w:p w:rsidR="00144D6D" w:rsidRPr="00E11DB6" w:rsidRDefault="00144D6D" w:rsidP="002F03CE">
                  <w:pPr>
                    <w:spacing w:after="0" w:line="240" w:lineRule="auto"/>
                    <w:jc w:val="left"/>
                    <w:rPr>
                      <w:color w:val="262626" w:themeColor="text1" w:themeTint="D9"/>
                      <w:sz w:val="18"/>
                      <w:szCs w:val="18"/>
                    </w:rPr>
                  </w:pPr>
                  <w:r>
                    <w:rPr>
                      <w:color w:val="262626" w:themeColor="text1" w:themeTint="D9"/>
                      <w:sz w:val="18"/>
                      <w:szCs w:val="18"/>
                    </w:rPr>
                    <w:t>Source : Insee</w:t>
                  </w:r>
                </w:p>
                <w:p w:rsidR="00144D6D" w:rsidRPr="00E11DB6" w:rsidRDefault="00144D6D" w:rsidP="002F03CE">
                  <w:pPr>
                    <w:jc w:val="left"/>
                    <w:rPr>
                      <w:color w:val="262626" w:themeColor="text1" w:themeTint="D9"/>
                      <w:sz w:val="18"/>
                      <w:szCs w:val="18"/>
                    </w:rPr>
                  </w:pPr>
                </w:p>
              </w:txbxContent>
            </v:textbox>
          </v:shape>
        </w:pict>
      </w:r>
      <w:r>
        <w:rPr>
          <w:noProof/>
          <w:color w:val="0D0D0D" w:themeColor="text1" w:themeTint="F2"/>
          <w:sz w:val="18"/>
          <w:szCs w:val="18"/>
          <w:lang w:eastAsia="fr-FR"/>
        </w:rPr>
        <w:pict>
          <v:shape id="_x0000_s1085" type="#_x0000_t202" style="position:absolute;left:0;text-align:left;margin-left:164.25pt;margin-top:7.1pt;width:104.55pt;height:22.5pt;z-index:251736064;mso-width-relative:margin;mso-height-relative:margin;v-text-anchor:middle" filled="f" stroked="f">
            <v:textbox>
              <w:txbxContent>
                <w:p w:rsidR="00144D6D" w:rsidRPr="00E11DB6" w:rsidRDefault="00144D6D" w:rsidP="002F03CE">
                  <w:pPr>
                    <w:spacing w:after="0" w:line="240" w:lineRule="auto"/>
                    <w:jc w:val="left"/>
                    <w:rPr>
                      <w:color w:val="262626" w:themeColor="text1" w:themeTint="D9"/>
                      <w:sz w:val="18"/>
                      <w:szCs w:val="18"/>
                    </w:rPr>
                  </w:pPr>
                  <w:r>
                    <w:rPr>
                      <w:color w:val="262626" w:themeColor="text1" w:themeTint="D9"/>
                      <w:sz w:val="18"/>
                      <w:szCs w:val="18"/>
                    </w:rPr>
                    <w:t>Source : Insee</w:t>
                  </w:r>
                </w:p>
                <w:p w:rsidR="00144D6D" w:rsidRPr="00E11DB6" w:rsidRDefault="00144D6D" w:rsidP="002F03CE">
                  <w:pPr>
                    <w:jc w:val="left"/>
                    <w:rPr>
                      <w:color w:val="262626" w:themeColor="text1" w:themeTint="D9"/>
                      <w:sz w:val="18"/>
                      <w:szCs w:val="18"/>
                    </w:rPr>
                  </w:pPr>
                </w:p>
              </w:txbxContent>
            </v:textbox>
          </v:shape>
        </w:pict>
      </w:r>
    </w:p>
    <w:p w:rsidR="0003685B" w:rsidRDefault="0003685B" w:rsidP="00655C9A">
      <w:pPr>
        <w:pStyle w:val="Textedebase"/>
        <w:spacing w:after="0" w:line="240" w:lineRule="auto"/>
        <w:ind w:left="0"/>
        <w:rPr>
          <w:color w:val="0D0D0D" w:themeColor="text1" w:themeTint="F2"/>
          <w:sz w:val="18"/>
          <w:szCs w:val="18"/>
        </w:rPr>
      </w:pPr>
    </w:p>
    <w:p w:rsidR="0003685B" w:rsidRDefault="0003685B" w:rsidP="00655C9A">
      <w:pPr>
        <w:pStyle w:val="Textedebase"/>
        <w:spacing w:after="0" w:line="240" w:lineRule="auto"/>
        <w:ind w:left="0"/>
        <w:rPr>
          <w:color w:val="0D0D0D" w:themeColor="text1" w:themeTint="F2"/>
          <w:sz w:val="18"/>
          <w:szCs w:val="18"/>
        </w:rPr>
      </w:pPr>
    </w:p>
    <w:p w:rsidR="0003685B" w:rsidRDefault="0003685B" w:rsidP="00655C9A">
      <w:pPr>
        <w:pStyle w:val="Textedebase"/>
        <w:spacing w:after="0" w:line="240" w:lineRule="auto"/>
        <w:ind w:left="0"/>
        <w:rPr>
          <w:color w:val="0D0D0D" w:themeColor="text1" w:themeTint="F2"/>
          <w:sz w:val="18"/>
          <w:szCs w:val="18"/>
        </w:rPr>
      </w:pPr>
    </w:p>
    <w:p w:rsidR="0003685B" w:rsidRDefault="00F86138" w:rsidP="00655C9A">
      <w:pPr>
        <w:pStyle w:val="Textedebase"/>
        <w:spacing w:after="0" w:line="240" w:lineRule="auto"/>
        <w:ind w:left="0"/>
        <w:rPr>
          <w:color w:val="0D0D0D" w:themeColor="text1" w:themeTint="F2"/>
          <w:sz w:val="18"/>
          <w:szCs w:val="18"/>
        </w:rPr>
      </w:pPr>
      <w:r>
        <w:rPr>
          <w:noProof/>
          <w:lang w:eastAsia="fr-FR"/>
        </w:rPr>
        <w:pict>
          <v:shape id="_x0000_s1045" type="#_x0000_t202" style="position:absolute;left:0;text-align:left;margin-left:3.3pt;margin-top:2.95pt;width:198.3pt;height:35.25pt;z-index:251681792;mso-width-relative:margin;mso-height-relative:margin" filled="f" stroked="f">
            <v:textbox>
              <w:txbxContent>
                <w:p w:rsidR="00144D6D" w:rsidRDefault="00144D6D" w:rsidP="00C047E1">
                  <w:pPr>
                    <w:tabs>
                      <w:tab w:val="left" w:pos="993"/>
                    </w:tabs>
                    <w:spacing w:after="0" w:line="240" w:lineRule="auto"/>
                    <w:jc w:val="left"/>
                    <w:rPr>
                      <w:color w:val="7A003C"/>
                      <w:sz w:val="18"/>
                      <w:szCs w:val="18"/>
                    </w:rPr>
                  </w:pPr>
                  <w:r>
                    <w:rPr>
                      <w:color w:val="7A003C"/>
                      <w:sz w:val="18"/>
                      <w:szCs w:val="18"/>
                    </w:rPr>
                    <w:t>Graph 5</w:t>
                  </w:r>
                  <w:r w:rsidRPr="00987897">
                    <w:rPr>
                      <w:color w:val="7A003C"/>
                      <w:sz w:val="18"/>
                      <w:szCs w:val="18"/>
                    </w:rPr>
                    <w:t>.</w:t>
                  </w:r>
                  <w:r>
                    <w:rPr>
                      <w:color w:val="7A003C"/>
                      <w:sz w:val="18"/>
                      <w:szCs w:val="18"/>
                    </w:rPr>
                    <w:tab/>
                  </w:r>
                  <w:r>
                    <w:rPr>
                      <w:b/>
                      <w:color w:val="262626" w:themeColor="text1" w:themeTint="D9"/>
                      <w:sz w:val="20"/>
                      <w:szCs w:val="20"/>
                    </w:rPr>
                    <w:t>Structure de la dette publique</w:t>
                  </w:r>
                </w:p>
                <w:p w:rsidR="00144D6D" w:rsidRPr="00987897" w:rsidRDefault="00144D6D" w:rsidP="00C047E1">
                  <w:pPr>
                    <w:tabs>
                      <w:tab w:val="left" w:pos="993"/>
                    </w:tabs>
                    <w:spacing w:after="0" w:line="240" w:lineRule="auto"/>
                    <w:ind w:firstLine="708"/>
                    <w:jc w:val="left"/>
                    <w:rPr>
                      <w:i/>
                      <w:color w:val="262626" w:themeColor="text1" w:themeTint="D9"/>
                      <w:sz w:val="18"/>
                      <w:szCs w:val="18"/>
                    </w:rPr>
                  </w:pPr>
                  <w:r>
                    <w:rPr>
                      <w:color w:val="7A003C"/>
                      <w:sz w:val="18"/>
                      <w:szCs w:val="18"/>
                    </w:rPr>
                    <w:tab/>
                  </w:r>
                  <w:r>
                    <w:rPr>
                      <w:i/>
                      <w:color w:val="262626" w:themeColor="text1" w:themeTint="D9"/>
                      <w:sz w:val="18"/>
                      <w:szCs w:val="18"/>
                    </w:rPr>
                    <w:t>Au premier trimestre 2012</w:t>
                  </w:r>
                </w:p>
                <w:p w:rsidR="00144D6D" w:rsidRPr="00987897" w:rsidRDefault="00144D6D" w:rsidP="00C047E1">
                  <w:pPr>
                    <w:rPr>
                      <w:color w:val="7A003C"/>
                      <w:sz w:val="18"/>
                      <w:szCs w:val="18"/>
                    </w:rPr>
                  </w:pPr>
                </w:p>
              </w:txbxContent>
            </v:textbox>
          </v:shape>
        </w:pict>
      </w:r>
    </w:p>
    <w:p w:rsidR="0003685B" w:rsidRPr="00655C9A" w:rsidRDefault="0003685B" w:rsidP="00655C9A">
      <w:pPr>
        <w:pStyle w:val="Textedebase"/>
        <w:spacing w:after="0" w:line="240" w:lineRule="auto"/>
        <w:ind w:left="0"/>
        <w:rPr>
          <w:color w:val="0D0D0D" w:themeColor="text1" w:themeTint="F2"/>
          <w:sz w:val="18"/>
          <w:szCs w:val="18"/>
        </w:rPr>
      </w:pPr>
    </w:p>
    <w:p w:rsidR="00655C9A" w:rsidRDefault="00C047E1" w:rsidP="00655C9A">
      <w:pPr>
        <w:pStyle w:val="Textedebase"/>
        <w:ind w:left="0"/>
      </w:pPr>
      <w:r>
        <w:rPr>
          <w:noProof/>
          <w:lang w:eastAsia="fr-FR"/>
        </w:rPr>
        <w:drawing>
          <wp:anchor distT="0" distB="0" distL="114300" distR="114300" simplePos="0" relativeHeight="251682816" behindDoc="0" locked="0" layoutInCell="1" allowOverlap="1">
            <wp:simplePos x="0" y="0"/>
            <wp:positionH relativeFrom="column">
              <wp:posOffset>131445</wp:posOffset>
            </wp:positionH>
            <wp:positionV relativeFrom="paragraph">
              <wp:posOffset>158115</wp:posOffset>
            </wp:positionV>
            <wp:extent cx="3819525" cy="2133600"/>
            <wp:effectExtent l="0" t="0" r="0" b="0"/>
            <wp:wrapNone/>
            <wp:docPr id="14"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655C9A" w:rsidRDefault="00655C9A" w:rsidP="00655C9A">
      <w:pPr>
        <w:pStyle w:val="Textedebase"/>
        <w:ind w:left="0"/>
        <w:jc w:val="left"/>
      </w:pPr>
    </w:p>
    <w:p w:rsidR="00655C9A" w:rsidRDefault="00655C9A" w:rsidP="00655C9A">
      <w:pPr>
        <w:pStyle w:val="Textedebase"/>
        <w:ind w:left="0"/>
      </w:pPr>
    </w:p>
    <w:p w:rsidR="00C047E1" w:rsidRDefault="00C047E1" w:rsidP="00655C9A">
      <w:pPr>
        <w:pStyle w:val="Textedebase"/>
        <w:ind w:left="0"/>
        <w:rPr>
          <w:color w:val="0D0D0D" w:themeColor="text1" w:themeTint="F2"/>
          <w:sz w:val="18"/>
          <w:szCs w:val="18"/>
        </w:rPr>
      </w:pPr>
    </w:p>
    <w:p w:rsidR="00C047E1" w:rsidRDefault="00C047E1" w:rsidP="00655C9A">
      <w:pPr>
        <w:pStyle w:val="Textedebase"/>
        <w:ind w:left="0"/>
        <w:rPr>
          <w:color w:val="0D0D0D" w:themeColor="text1" w:themeTint="F2"/>
          <w:sz w:val="18"/>
          <w:szCs w:val="18"/>
        </w:rPr>
      </w:pPr>
    </w:p>
    <w:p w:rsidR="00C047E1" w:rsidRDefault="00C047E1" w:rsidP="00655C9A">
      <w:pPr>
        <w:pStyle w:val="Textedebase"/>
        <w:ind w:left="0"/>
        <w:rPr>
          <w:color w:val="0D0D0D" w:themeColor="text1" w:themeTint="F2"/>
          <w:sz w:val="18"/>
          <w:szCs w:val="18"/>
        </w:rPr>
      </w:pPr>
    </w:p>
    <w:p w:rsidR="00C047E1" w:rsidRDefault="00F86138" w:rsidP="00655C9A">
      <w:pPr>
        <w:pStyle w:val="Textedebase"/>
        <w:ind w:left="0"/>
        <w:rPr>
          <w:color w:val="0D0D0D" w:themeColor="text1" w:themeTint="F2"/>
          <w:sz w:val="18"/>
          <w:szCs w:val="18"/>
        </w:rPr>
      </w:pPr>
      <w:r>
        <w:rPr>
          <w:noProof/>
          <w:lang w:eastAsia="fr-FR"/>
        </w:rPr>
        <w:pict>
          <v:shape id="_x0000_s1046" type="#_x0000_t202" style="position:absolute;left:0;text-align:left;margin-left:170.25pt;margin-top:13.45pt;width:104.55pt;height:22.5pt;z-index:251683840;mso-width-relative:margin;mso-height-relative:margin;v-text-anchor:middle" filled="f" stroked="f">
            <v:textbox>
              <w:txbxContent>
                <w:p w:rsidR="00144D6D" w:rsidRPr="00E11DB6" w:rsidRDefault="00144D6D" w:rsidP="00C047E1">
                  <w:pPr>
                    <w:spacing w:after="0" w:line="240" w:lineRule="auto"/>
                    <w:jc w:val="left"/>
                    <w:rPr>
                      <w:color w:val="262626" w:themeColor="text1" w:themeTint="D9"/>
                      <w:sz w:val="18"/>
                      <w:szCs w:val="18"/>
                    </w:rPr>
                  </w:pPr>
                  <w:r>
                    <w:rPr>
                      <w:color w:val="262626" w:themeColor="text1" w:themeTint="D9"/>
                      <w:sz w:val="18"/>
                      <w:szCs w:val="18"/>
                    </w:rPr>
                    <w:t>Source : Insee</w:t>
                  </w:r>
                </w:p>
                <w:p w:rsidR="00144D6D" w:rsidRPr="00E11DB6" w:rsidRDefault="00144D6D" w:rsidP="00C047E1">
                  <w:pPr>
                    <w:jc w:val="left"/>
                    <w:rPr>
                      <w:color w:val="262626" w:themeColor="text1" w:themeTint="D9"/>
                      <w:sz w:val="18"/>
                      <w:szCs w:val="18"/>
                    </w:rPr>
                  </w:pPr>
                </w:p>
              </w:txbxContent>
            </v:textbox>
          </v:shape>
        </w:pict>
      </w:r>
    </w:p>
    <w:p w:rsidR="00C047E1" w:rsidRDefault="00C047E1" w:rsidP="00655C9A"/>
    <w:p w:rsidR="00655C9A" w:rsidRPr="003C3867" w:rsidRDefault="00655C9A" w:rsidP="00655C9A">
      <w:pPr>
        <w:pStyle w:val="Titre3"/>
        <w:keepNext w:val="0"/>
        <w:keepLines w:val="0"/>
        <w:numPr>
          <w:ilvl w:val="2"/>
          <w:numId w:val="0"/>
        </w:numPr>
        <w:spacing w:before="0" w:after="120"/>
        <w:rPr>
          <w:rFonts w:asciiTheme="minorHAnsi" w:hAnsiTheme="minorHAnsi"/>
          <w:color w:val="262626" w:themeColor="text1" w:themeTint="D9"/>
        </w:rPr>
      </w:pPr>
      <w:r w:rsidRPr="003C3867">
        <w:rPr>
          <w:rFonts w:asciiTheme="minorHAnsi" w:hAnsiTheme="minorHAnsi"/>
          <w:color w:val="262626" w:themeColor="text1" w:themeTint="D9"/>
        </w:rPr>
        <w:lastRenderedPageBreak/>
        <w:t>L</w:t>
      </w:r>
      <w:r w:rsidR="00BC32B3" w:rsidRPr="003C3867">
        <w:rPr>
          <w:rFonts w:asciiTheme="minorHAnsi" w:hAnsiTheme="minorHAnsi"/>
          <w:color w:val="262626" w:themeColor="text1" w:themeTint="D9"/>
        </w:rPr>
        <w:t>e déficit de l’</w:t>
      </w:r>
      <w:r w:rsidR="004759CA">
        <w:rPr>
          <w:rFonts w:asciiTheme="minorHAnsi" w:hAnsiTheme="minorHAnsi"/>
          <w:color w:val="262626" w:themeColor="text1" w:themeTint="D9"/>
        </w:rPr>
        <w:t>Assurance maladie</w:t>
      </w:r>
      <w:r w:rsidR="00BC32B3" w:rsidRPr="003C3867">
        <w:rPr>
          <w:rFonts w:asciiTheme="minorHAnsi" w:hAnsiTheme="minorHAnsi"/>
          <w:color w:val="262626" w:themeColor="text1" w:themeTint="D9"/>
        </w:rPr>
        <w:t xml:space="preserve"> </w:t>
      </w:r>
      <w:r w:rsidRPr="003C3867">
        <w:rPr>
          <w:rFonts w:asciiTheme="minorHAnsi" w:hAnsiTheme="minorHAnsi"/>
          <w:color w:val="262626" w:themeColor="text1" w:themeTint="D9"/>
        </w:rPr>
        <w:t>est fort et structurel</w:t>
      </w:r>
    </w:p>
    <w:p w:rsidR="00C047E1" w:rsidRDefault="00C047E1" w:rsidP="00655C9A">
      <w:pPr>
        <w:pStyle w:val="Textedebase"/>
        <w:ind w:left="0"/>
        <w:sectPr w:rsidR="00C047E1" w:rsidSect="00415E08">
          <w:type w:val="continuous"/>
          <w:pgSz w:w="11906" w:h="16838"/>
          <w:pgMar w:top="1928" w:right="1418" w:bottom="1135" w:left="993" w:header="709" w:footer="709" w:gutter="0"/>
          <w:cols w:space="708"/>
          <w:docGrid w:linePitch="360"/>
        </w:sectPr>
      </w:pPr>
    </w:p>
    <w:p w:rsidR="00655C9A" w:rsidRPr="00C047E1" w:rsidRDefault="00655C9A" w:rsidP="00C047E1">
      <w:pPr>
        <w:pStyle w:val="Textedebase"/>
        <w:ind w:left="0"/>
        <w:jc w:val="left"/>
      </w:pPr>
      <w:r w:rsidRPr="00C047E1">
        <w:lastRenderedPageBreak/>
        <w:t>Le</w:t>
      </w:r>
      <w:r w:rsidR="002F03CE">
        <w:t xml:space="preserve">s comptes du régime général de </w:t>
      </w:r>
      <w:r w:rsidR="009676AD">
        <w:t>Sécurité sociale</w:t>
      </w:r>
      <w:r w:rsidRPr="00C047E1">
        <w:t xml:space="preserve"> se sont fortement détériorés au cours de la dernière décennie. Cette évolution s’explique d’une part par un déséquilibre structurel des comptes sociaux et d’autre part par la dégradation de la conjoncture économique à la fin des années 2000. </w:t>
      </w:r>
    </w:p>
    <w:p w:rsidR="00D64137" w:rsidRDefault="00655C9A" w:rsidP="00C047E1">
      <w:pPr>
        <w:pStyle w:val="Textedebase"/>
        <w:ind w:left="0"/>
        <w:jc w:val="left"/>
      </w:pPr>
      <w:r w:rsidRPr="00C047E1">
        <w:t>Idéalement, le solde des comptes sociaux devrait être positif en période d’expans</w:t>
      </w:r>
      <w:r w:rsidR="002F03CE">
        <w:t>ion économique afin de dégager d</w:t>
      </w:r>
      <w:r w:rsidRPr="00C047E1">
        <w:t xml:space="preserve">es fonds </w:t>
      </w:r>
      <w:r w:rsidR="002F03CE">
        <w:t>servant</w:t>
      </w:r>
      <w:r w:rsidR="00D64137">
        <w:t xml:space="preserve"> à financer les déficits des périodes de conjoncture défavorable. </w:t>
      </w:r>
    </w:p>
    <w:p w:rsidR="00655C9A" w:rsidRDefault="00655C9A" w:rsidP="00C047E1">
      <w:pPr>
        <w:pStyle w:val="Textedebase"/>
        <w:ind w:left="0"/>
        <w:jc w:val="left"/>
      </w:pPr>
      <w:r w:rsidRPr="00C047E1">
        <w:t xml:space="preserve">En effet, lorsque le chômage est bas, les recettes sociales, assises sur les cotisations des travailleurs, sont </w:t>
      </w:r>
      <w:r w:rsidR="00D87910">
        <w:t>élevées</w:t>
      </w:r>
      <w:r w:rsidRPr="00C047E1">
        <w:t xml:space="preserve">. </w:t>
      </w:r>
      <w:r w:rsidR="00BC32B3" w:rsidRPr="00C047E1">
        <w:t>En phase haute d’un cycle économique, l</w:t>
      </w:r>
      <w:r w:rsidR="00621120" w:rsidRPr="00C047E1">
        <w:t xml:space="preserve">es comptes doivent donc être au moins à l’équilibre. </w:t>
      </w:r>
      <w:r w:rsidRPr="00C047E1">
        <w:t xml:space="preserve">Inversement, lorsque la croissance du PIB marque le pas, le chômage progresse et les recettes sociales </w:t>
      </w:r>
      <w:r w:rsidR="00D87910">
        <w:t>diminuent</w:t>
      </w:r>
      <w:r w:rsidR="00D64137">
        <w:t xml:space="preserve"> en conséquence</w:t>
      </w:r>
      <w:r w:rsidRPr="00C047E1">
        <w:t>.</w:t>
      </w:r>
      <w:r w:rsidR="00621120" w:rsidRPr="00C047E1">
        <w:t xml:space="preserve"> Un déficit</w:t>
      </w:r>
      <w:r w:rsidR="00BC32B3" w:rsidRPr="00C047E1">
        <w:t xml:space="preserve"> conjoncturel </w:t>
      </w:r>
      <w:r w:rsidR="00D87910">
        <w:t>apparaît</w:t>
      </w:r>
      <w:r w:rsidR="00621120" w:rsidRPr="00C047E1">
        <w:t>.</w:t>
      </w:r>
    </w:p>
    <w:p w:rsidR="00D64137" w:rsidRPr="00C047E1" w:rsidRDefault="00D64137" w:rsidP="00C047E1">
      <w:pPr>
        <w:pStyle w:val="Textedebase"/>
        <w:ind w:left="0"/>
        <w:jc w:val="left"/>
      </w:pPr>
    </w:p>
    <w:p w:rsidR="00655C9A" w:rsidRPr="00C047E1" w:rsidRDefault="00655C9A" w:rsidP="00C047E1">
      <w:pPr>
        <w:pStyle w:val="Textedebase"/>
        <w:ind w:left="0"/>
        <w:jc w:val="left"/>
      </w:pPr>
      <w:r w:rsidRPr="00C047E1">
        <w:lastRenderedPageBreak/>
        <w:t>En 2007, alors que la croissance économique était relativement dynamique (+2,3%), le</w:t>
      </w:r>
      <w:r w:rsidR="003C254E">
        <w:t xml:space="preserve">s comptes du régime général de </w:t>
      </w:r>
      <w:r w:rsidR="009676AD">
        <w:t>Sécurité sociale</w:t>
      </w:r>
      <w:r w:rsidRPr="00C047E1">
        <w:t xml:space="preserve"> enregistraient déjà un déficit important. Ce </w:t>
      </w:r>
      <w:r w:rsidR="00621120" w:rsidRPr="00C047E1">
        <w:t xml:space="preserve">besoin de financement </w:t>
      </w:r>
      <w:r w:rsidRPr="00C047E1">
        <w:t xml:space="preserve"> persistant en période de croissance forte traduit l’existence d’un déséquilibre structurel </w:t>
      </w:r>
      <w:r w:rsidR="007F6AD4" w:rsidRPr="00C047E1">
        <w:t xml:space="preserve">des comptes </w:t>
      </w:r>
      <w:r w:rsidR="003C254E">
        <w:t>sociaux. Or, celui-ci</w:t>
      </w:r>
      <w:r w:rsidR="00BC32B3" w:rsidRPr="00C047E1">
        <w:t xml:space="preserve"> est économiquement injustifiable.</w:t>
      </w:r>
    </w:p>
    <w:p w:rsidR="00655C9A" w:rsidRPr="00C047E1" w:rsidRDefault="00655C9A" w:rsidP="00C047E1">
      <w:pPr>
        <w:pStyle w:val="Textedebase"/>
        <w:ind w:left="0"/>
        <w:jc w:val="left"/>
      </w:pPr>
      <w:r w:rsidRPr="00C047E1">
        <w:t xml:space="preserve">Après un déficit record en 2010 de 23,9 milliards d’euros, le besoin en financement du régime général toutes branches confondues a atteint 17,4 milliards </w:t>
      </w:r>
      <w:r w:rsidR="00BC32B3" w:rsidRPr="00C047E1">
        <w:t xml:space="preserve">d’euros </w:t>
      </w:r>
      <w:r w:rsidRPr="00C047E1">
        <w:t>en 2011, soit près de 1% du PIB. La moitié de ce montant provenait de la branche maladi</w:t>
      </w:r>
      <w:r w:rsidR="003C254E">
        <w:t>e, dont le déficit s’est établi</w:t>
      </w:r>
      <w:r w:rsidRPr="00C047E1">
        <w:t xml:space="preserve"> à 8,6 milliards d’euros en 2011. </w:t>
      </w:r>
    </w:p>
    <w:p w:rsidR="00655C9A" w:rsidRPr="00C047E1" w:rsidRDefault="008705F4" w:rsidP="00C047E1">
      <w:pPr>
        <w:pStyle w:val="Textedebase"/>
        <w:ind w:left="0"/>
        <w:jc w:val="left"/>
      </w:pPr>
      <w:r w:rsidRPr="00C047E1">
        <w:t>L</w:t>
      </w:r>
      <w:r w:rsidR="00655C9A" w:rsidRPr="00C047E1">
        <w:t>e besoin de financement de l’</w:t>
      </w:r>
      <w:r w:rsidR="004759CA">
        <w:t>Assurance maladie</w:t>
      </w:r>
      <w:r w:rsidR="00655C9A" w:rsidRPr="00C047E1">
        <w:t xml:space="preserve"> </w:t>
      </w:r>
      <w:r w:rsidRPr="00C047E1">
        <w:t xml:space="preserve">pour l’année 2012 </w:t>
      </w:r>
      <w:r w:rsidR="00655C9A" w:rsidRPr="00C047E1">
        <w:t xml:space="preserve">devrait se réduire à 6,8 milliards d’euros. Ce niveau, toujours élevé </w:t>
      </w:r>
      <w:r w:rsidR="00D87910">
        <w:t>et non compatible avec la solvabilité du système</w:t>
      </w:r>
      <w:r w:rsidR="00295BA4">
        <w:t xml:space="preserve">, rend inévitable la mise en œuvre </w:t>
      </w:r>
      <w:r w:rsidR="00655C9A" w:rsidRPr="00C047E1">
        <w:t>de réformes structurelles pour assurer la pérennité du financement public de la santé.</w:t>
      </w:r>
    </w:p>
    <w:p w:rsidR="00C047E1" w:rsidRDefault="00C047E1" w:rsidP="00655C9A">
      <w:pPr>
        <w:pStyle w:val="Textedebase"/>
        <w:rPr>
          <w:color w:val="FF0000"/>
        </w:rPr>
        <w:sectPr w:rsidR="00C047E1" w:rsidSect="00C047E1">
          <w:type w:val="continuous"/>
          <w:pgSz w:w="11906" w:h="16838"/>
          <w:pgMar w:top="1928" w:right="1418" w:bottom="1135" w:left="993" w:header="709" w:footer="709" w:gutter="0"/>
          <w:cols w:num="2" w:space="708"/>
          <w:docGrid w:linePitch="360"/>
        </w:sectPr>
      </w:pPr>
    </w:p>
    <w:p w:rsidR="00655C9A" w:rsidRDefault="00655C9A" w:rsidP="00655C9A">
      <w:pPr>
        <w:pStyle w:val="Textedebase"/>
        <w:rPr>
          <w:color w:val="FF0000"/>
        </w:rPr>
      </w:pPr>
    </w:p>
    <w:p w:rsidR="00655C9A" w:rsidRDefault="00F86138" w:rsidP="00655C9A">
      <w:pPr>
        <w:pStyle w:val="Textedebase"/>
      </w:pPr>
      <w:r>
        <w:rPr>
          <w:noProof/>
          <w:lang w:eastAsia="fr-FR"/>
        </w:rPr>
        <w:pict>
          <v:shape id="_x0000_s1047" type="#_x0000_t202" style="position:absolute;left:0;text-align:left;margin-left:-4.95pt;margin-top:8.35pt;width:253.05pt;height:35.25pt;z-index:251684864;mso-width-relative:margin;mso-height-relative:margin" filled="f" stroked="f">
            <v:textbox>
              <w:txbxContent>
                <w:p w:rsidR="00144D6D" w:rsidRDefault="00144D6D" w:rsidP="00D64137">
                  <w:pPr>
                    <w:tabs>
                      <w:tab w:val="left" w:pos="993"/>
                    </w:tabs>
                    <w:spacing w:after="0" w:line="240" w:lineRule="auto"/>
                    <w:jc w:val="left"/>
                    <w:rPr>
                      <w:color w:val="7A003C"/>
                      <w:sz w:val="18"/>
                      <w:szCs w:val="18"/>
                    </w:rPr>
                  </w:pPr>
                  <w:r>
                    <w:rPr>
                      <w:color w:val="7A003C"/>
                      <w:sz w:val="18"/>
                      <w:szCs w:val="18"/>
                    </w:rPr>
                    <w:t>Graph 6</w:t>
                  </w:r>
                  <w:r w:rsidRPr="00987897">
                    <w:rPr>
                      <w:color w:val="7A003C"/>
                      <w:sz w:val="18"/>
                      <w:szCs w:val="18"/>
                    </w:rPr>
                    <w:t>.</w:t>
                  </w:r>
                  <w:r>
                    <w:rPr>
                      <w:color w:val="7A003C"/>
                      <w:sz w:val="18"/>
                      <w:szCs w:val="18"/>
                    </w:rPr>
                    <w:tab/>
                  </w:r>
                  <w:r>
                    <w:rPr>
                      <w:b/>
                      <w:color w:val="262626" w:themeColor="text1" w:themeTint="D9"/>
                      <w:sz w:val="20"/>
                      <w:szCs w:val="20"/>
                    </w:rPr>
                    <w:t>Déficit du régime général de Sécurité sociale</w:t>
                  </w:r>
                </w:p>
                <w:p w:rsidR="00144D6D" w:rsidRPr="00987897" w:rsidRDefault="00144D6D" w:rsidP="00D64137">
                  <w:pPr>
                    <w:tabs>
                      <w:tab w:val="left" w:pos="993"/>
                    </w:tabs>
                    <w:spacing w:after="0" w:line="240" w:lineRule="auto"/>
                    <w:ind w:firstLine="708"/>
                    <w:jc w:val="left"/>
                    <w:rPr>
                      <w:i/>
                      <w:color w:val="262626" w:themeColor="text1" w:themeTint="D9"/>
                      <w:sz w:val="18"/>
                      <w:szCs w:val="18"/>
                    </w:rPr>
                  </w:pPr>
                  <w:r>
                    <w:rPr>
                      <w:color w:val="7A003C"/>
                      <w:sz w:val="18"/>
                      <w:szCs w:val="18"/>
                    </w:rPr>
                    <w:tab/>
                  </w:r>
                  <w:r>
                    <w:rPr>
                      <w:i/>
                      <w:color w:val="262626" w:themeColor="text1" w:themeTint="D9"/>
                      <w:sz w:val="18"/>
                      <w:szCs w:val="18"/>
                    </w:rPr>
                    <w:t>En milliards d’euros courants</w:t>
                  </w:r>
                </w:p>
                <w:p w:rsidR="00144D6D" w:rsidRPr="00987897" w:rsidRDefault="00144D6D" w:rsidP="00D64137">
                  <w:pPr>
                    <w:rPr>
                      <w:color w:val="7A003C"/>
                      <w:sz w:val="18"/>
                      <w:szCs w:val="18"/>
                    </w:rPr>
                  </w:pPr>
                </w:p>
              </w:txbxContent>
            </v:textbox>
          </v:shape>
        </w:pict>
      </w:r>
    </w:p>
    <w:p w:rsidR="00655C9A" w:rsidRDefault="00344C9D" w:rsidP="00655C9A">
      <w:pPr>
        <w:pStyle w:val="Textedebase"/>
      </w:pPr>
      <w:r w:rsidRPr="00344C9D">
        <w:rPr>
          <w:noProof/>
          <w:lang w:eastAsia="fr-FR"/>
        </w:rPr>
        <w:drawing>
          <wp:anchor distT="0" distB="0" distL="114300" distR="114300" simplePos="0" relativeHeight="251773952" behindDoc="0" locked="0" layoutInCell="1" allowOverlap="1">
            <wp:simplePos x="0" y="0"/>
            <wp:positionH relativeFrom="column">
              <wp:posOffset>-84290</wp:posOffset>
            </wp:positionH>
            <wp:positionV relativeFrom="paragraph">
              <wp:posOffset>203505</wp:posOffset>
            </wp:positionV>
            <wp:extent cx="3277590" cy="2090057"/>
            <wp:effectExtent l="19050" t="0" r="0" b="0"/>
            <wp:wrapNone/>
            <wp:docPr id="39"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655C9A" w:rsidRDefault="00655C9A" w:rsidP="007F6AD4">
      <w:pPr>
        <w:pStyle w:val="Textedebase"/>
        <w:ind w:left="0"/>
      </w:pPr>
    </w:p>
    <w:p w:rsidR="00D64137" w:rsidRDefault="00D64137" w:rsidP="007F6AD4">
      <w:pPr>
        <w:pStyle w:val="Textedebase"/>
        <w:ind w:left="0"/>
      </w:pPr>
    </w:p>
    <w:p w:rsidR="00D64137" w:rsidRDefault="00D64137" w:rsidP="007F6AD4">
      <w:pPr>
        <w:pStyle w:val="Textedebase"/>
        <w:ind w:left="0"/>
      </w:pPr>
    </w:p>
    <w:p w:rsidR="00D64137" w:rsidRDefault="00D64137" w:rsidP="007F6AD4">
      <w:pPr>
        <w:pStyle w:val="Textedebase"/>
        <w:ind w:left="0"/>
      </w:pPr>
    </w:p>
    <w:p w:rsidR="00D64137" w:rsidRDefault="00D64137" w:rsidP="007F6AD4">
      <w:pPr>
        <w:pStyle w:val="Textedebase"/>
        <w:ind w:left="0"/>
      </w:pPr>
    </w:p>
    <w:p w:rsidR="00D64137" w:rsidRDefault="00D64137" w:rsidP="007F6AD4">
      <w:pPr>
        <w:pStyle w:val="Textedebase"/>
        <w:ind w:left="0"/>
      </w:pPr>
    </w:p>
    <w:p w:rsidR="00D64137" w:rsidRDefault="00F86138" w:rsidP="007F6AD4">
      <w:pPr>
        <w:pStyle w:val="Textedebase"/>
        <w:ind w:left="0"/>
      </w:pPr>
      <w:r>
        <w:rPr>
          <w:noProof/>
          <w:lang w:eastAsia="fr-FR"/>
        </w:rPr>
        <w:pict>
          <v:shape id="_x0000_s1048" type="#_x0000_t202" style="position:absolute;left:0;text-align:left;margin-left:-5.9pt;margin-top:20.25pt;width:330.3pt;height:20.15pt;z-index:251686912;mso-width-relative:margin;mso-height-relative:margin;v-text-anchor:middle" filled="f" stroked="f">
            <v:textbox>
              <w:txbxContent>
                <w:p w:rsidR="00144D6D" w:rsidRPr="00E11DB6" w:rsidRDefault="00144D6D" w:rsidP="00D64137">
                  <w:pPr>
                    <w:spacing w:after="0" w:line="240" w:lineRule="auto"/>
                    <w:jc w:val="left"/>
                    <w:rPr>
                      <w:color w:val="262626" w:themeColor="text1" w:themeTint="D9"/>
                      <w:sz w:val="18"/>
                      <w:szCs w:val="18"/>
                    </w:rPr>
                  </w:pPr>
                  <w:r>
                    <w:rPr>
                      <w:color w:val="262626" w:themeColor="text1" w:themeTint="D9"/>
                      <w:sz w:val="18"/>
                      <w:szCs w:val="18"/>
                    </w:rPr>
                    <w:t xml:space="preserve">Sources : </w:t>
                  </w:r>
                  <w:r w:rsidR="00033394">
                    <w:rPr>
                      <w:color w:val="262626" w:themeColor="text1" w:themeTint="D9"/>
                      <w:sz w:val="18"/>
                      <w:szCs w:val="18"/>
                    </w:rPr>
                    <w:t>Comptes de la Sécurité sociale</w:t>
                  </w:r>
                  <w:r w:rsidR="00344C9D">
                    <w:rPr>
                      <w:color w:val="262626" w:themeColor="text1" w:themeTint="D9"/>
                      <w:sz w:val="18"/>
                      <w:szCs w:val="18"/>
                    </w:rPr>
                    <w:t xml:space="preserve"> (1977</w:t>
                  </w:r>
                  <w:r w:rsidR="00033394">
                    <w:rPr>
                      <w:color w:val="262626" w:themeColor="text1" w:themeTint="D9"/>
                      <w:sz w:val="18"/>
                      <w:szCs w:val="18"/>
                    </w:rPr>
                    <w:t>-</w:t>
                  </w:r>
                  <w:r w:rsidR="00344C9D">
                    <w:rPr>
                      <w:color w:val="262626" w:themeColor="text1" w:themeTint="D9"/>
                      <w:sz w:val="18"/>
                      <w:szCs w:val="18"/>
                    </w:rPr>
                    <w:t>2011)</w:t>
                  </w:r>
                  <w:r>
                    <w:rPr>
                      <w:color w:val="262626" w:themeColor="text1" w:themeTint="D9"/>
                      <w:sz w:val="18"/>
                      <w:szCs w:val="18"/>
                    </w:rPr>
                    <w:t xml:space="preserve"> ; </w:t>
                  </w:r>
                  <w:r w:rsidR="00344C9D">
                    <w:rPr>
                      <w:color w:val="262626" w:themeColor="text1" w:themeTint="D9"/>
                      <w:sz w:val="18"/>
                      <w:szCs w:val="18"/>
                    </w:rPr>
                    <w:t>PLFSS 2013 (2012/2013)</w:t>
                  </w:r>
                </w:p>
                <w:p w:rsidR="00144D6D" w:rsidRPr="00E11DB6" w:rsidRDefault="00144D6D" w:rsidP="00D64137">
                  <w:pPr>
                    <w:jc w:val="left"/>
                    <w:rPr>
                      <w:color w:val="262626" w:themeColor="text1" w:themeTint="D9"/>
                      <w:sz w:val="18"/>
                      <w:szCs w:val="18"/>
                    </w:rPr>
                  </w:pPr>
                </w:p>
              </w:txbxContent>
            </v:textbox>
          </v:shape>
        </w:pict>
      </w:r>
    </w:p>
    <w:p w:rsidR="00D64137" w:rsidRDefault="00D64137" w:rsidP="007F6AD4">
      <w:pPr>
        <w:pStyle w:val="Textedebase"/>
        <w:ind w:left="0"/>
      </w:pPr>
    </w:p>
    <w:p w:rsidR="00D64137" w:rsidRDefault="00D64137" w:rsidP="007F6AD4">
      <w:pPr>
        <w:pStyle w:val="Textedebase"/>
        <w:ind w:left="0"/>
      </w:pPr>
    </w:p>
    <w:p w:rsidR="00D64137" w:rsidRDefault="00D64137" w:rsidP="007F6AD4">
      <w:pPr>
        <w:pStyle w:val="Textedebase"/>
        <w:ind w:left="0"/>
      </w:pPr>
    </w:p>
    <w:p w:rsidR="00D64137" w:rsidRDefault="00D64137" w:rsidP="007F6AD4">
      <w:pPr>
        <w:pStyle w:val="Textedebase"/>
        <w:ind w:left="0"/>
      </w:pPr>
    </w:p>
    <w:p w:rsidR="003C3867" w:rsidRDefault="003C3867" w:rsidP="003C3867">
      <w:pPr>
        <w:pStyle w:val="Titre2"/>
        <w:keepNext w:val="0"/>
        <w:keepLines w:val="0"/>
        <w:spacing w:before="0" w:after="120"/>
        <w:ind w:right="-709"/>
        <w:rPr>
          <w:rFonts w:eastAsiaTheme="minorHAnsi" w:cstheme="minorBidi"/>
          <w:b w:val="0"/>
          <w:bCs w:val="0"/>
          <w:sz w:val="21"/>
          <w:szCs w:val="20"/>
        </w:rPr>
      </w:pPr>
    </w:p>
    <w:p w:rsidR="00655C9A" w:rsidRPr="007F6AD4" w:rsidRDefault="003C3867" w:rsidP="003C3867">
      <w:pPr>
        <w:pStyle w:val="Titre2"/>
        <w:keepNext w:val="0"/>
        <w:keepLines w:val="0"/>
        <w:spacing w:before="0" w:after="120"/>
        <w:ind w:right="-709"/>
        <w:rPr>
          <w:color w:val="1F497D" w:themeColor="text2"/>
        </w:rPr>
      </w:pPr>
      <w:r>
        <w:rPr>
          <w:rFonts w:eastAsiaTheme="minorHAnsi" w:cstheme="minorBidi"/>
          <w:bCs w:val="0"/>
          <w:color w:val="7A003C"/>
          <w:sz w:val="18"/>
          <w:szCs w:val="18"/>
        </w:rPr>
        <w:lastRenderedPageBreak/>
        <w:t>[1.2</w:t>
      </w:r>
      <w:r w:rsidRPr="00987897">
        <w:rPr>
          <w:rFonts w:eastAsiaTheme="minorHAnsi" w:cstheme="minorBidi"/>
          <w:bCs w:val="0"/>
          <w:color w:val="7A003C"/>
          <w:sz w:val="18"/>
          <w:szCs w:val="18"/>
        </w:rPr>
        <w:t>]</w:t>
      </w:r>
      <w:r w:rsidRPr="00987897">
        <w:rPr>
          <w:rFonts w:eastAsiaTheme="minorHAnsi" w:cstheme="minorBidi"/>
          <w:bCs w:val="0"/>
          <w:color w:val="7A003C"/>
          <w:sz w:val="18"/>
          <w:szCs w:val="18"/>
        </w:rPr>
        <w:tab/>
      </w:r>
      <w:r w:rsidR="00655C9A" w:rsidRPr="003C3867">
        <w:rPr>
          <w:i/>
          <w:color w:val="17365D" w:themeColor="text2" w:themeShade="BF"/>
          <w:sz w:val="28"/>
          <w:szCs w:val="28"/>
        </w:rPr>
        <w:t>L’évolution des dépenses de santé pose la question de leur financement</w:t>
      </w:r>
    </w:p>
    <w:p w:rsidR="00655C9A" w:rsidRPr="00655C9A" w:rsidRDefault="00655C9A" w:rsidP="00655C9A"/>
    <w:p w:rsidR="00655C9A" w:rsidRPr="00FA6EF4" w:rsidRDefault="00655C9A" w:rsidP="00655C9A">
      <w:pPr>
        <w:pStyle w:val="Titre3"/>
        <w:keepNext w:val="0"/>
        <w:keepLines w:val="0"/>
        <w:numPr>
          <w:ilvl w:val="2"/>
          <w:numId w:val="0"/>
        </w:numPr>
        <w:spacing w:before="0" w:after="120"/>
        <w:rPr>
          <w:rFonts w:asciiTheme="minorHAnsi" w:hAnsiTheme="minorHAnsi"/>
          <w:i/>
          <w:color w:val="262626" w:themeColor="text1" w:themeTint="D9"/>
        </w:rPr>
      </w:pPr>
      <w:r w:rsidRPr="00FA6EF4">
        <w:rPr>
          <w:rFonts w:asciiTheme="minorHAnsi" w:hAnsiTheme="minorHAnsi"/>
          <w:i/>
          <w:color w:val="262626" w:themeColor="text1" w:themeTint="D9"/>
        </w:rPr>
        <w:t>Les dépenses de santé augmentent fortement et structurellement</w:t>
      </w:r>
    </w:p>
    <w:p w:rsidR="003C3867" w:rsidRPr="00FA6EF4" w:rsidRDefault="003C3867" w:rsidP="00655C9A">
      <w:pPr>
        <w:pStyle w:val="Textedebase"/>
        <w:ind w:left="0"/>
        <w:sectPr w:rsidR="003C3867" w:rsidRPr="00FA6EF4" w:rsidSect="00415E08">
          <w:type w:val="continuous"/>
          <w:pgSz w:w="11906" w:h="16838"/>
          <w:pgMar w:top="1928" w:right="1418" w:bottom="1135" w:left="993" w:header="709" w:footer="709" w:gutter="0"/>
          <w:cols w:space="708"/>
          <w:docGrid w:linePitch="360"/>
        </w:sectPr>
      </w:pPr>
    </w:p>
    <w:p w:rsidR="00655C9A" w:rsidRPr="00FA6EF4" w:rsidRDefault="00655C9A" w:rsidP="00A03687">
      <w:pPr>
        <w:pStyle w:val="Textedebase"/>
        <w:spacing w:after="240"/>
        <w:ind w:left="0"/>
        <w:jc w:val="left"/>
      </w:pPr>
      <w:r w:rsidRPr="00FA6EF4">
        <w:lastRenderedPageBreak/>
        <w:t xml:space="preserve">Les dépenses de santé progressent rapidement dans tous les pays développés. Elles augmentent en volume, mais également en proportion du PIB. </w:t>
      </w:r>
    </w:p>
    <w:p w:rsidR="00571D5C" w:rsidRDefault="00655C9A" w:rsidP="00A03687">
      <w:pPr>
        <w:pStyle w:val="Textedebase"/>
        <w:spacing w:after="240"/>
        <w:ind w:left="0"/>
        <w:jc w:val="left"/>
      </w:pPr>
      <w:r w:rsidRPr="00FA6EF4">
        <w:t xml:space="preserve">Les Etats-Unis </w:t>
      </w:r>
      <w:r w:rsidR="00084492">
        <w:t>sont</w:t>
      </w:r>
      <w:r w:rsidRPr="00FA6EF4">
        <w:t xml:space="preserve"> le pays où le poids de la santé dans l’économie est le plus fort au monde (17,6% du PIB</w:t>
      </w:r>
      <w:r w:rsidR="00084492">
        <w:t xml:space="preserve"> en 2010</w:t>
      </w:r>
      <w:r w:rsidRPr="00FA6EF4">
        <w:t xml:space="preserve">). </w:t>
      </w:r>
      <w:r w:rsidR="00700D6E" w:rsidRPr="00FA6EF4">
        <w:t>Ce pays</w:t>
      </w:r>
      <w:r w:rsidR="007F6AD4" w:rsidRPr="00FA6EF4">
        <w:t xml:space="preserve"> </w:t>
      </w:r>
      <w:r w:rsidR="00084492">
        <w:t xml:space="preserve">peut servir de référence pour anticiper </w:t>
      </w:r>
      <w:r w:rsidR="007F6AD4" w:rsidRPr="00FA6EF4">
        <w:t>l’évolution de long terme des dépenses de santé dans les autres pays</w:t>
      </w:r>
      <w:r w:rsidR="008705F4" w:rsidRPr="00FA6EF4">
        <w:t xml:space="preserve"> développés</w:t>
      </w:r>
      <w:r w:rsidR="007F6AD4" w:rsidRPr="00FA6EF4">
        <w:t xml:space="preserve">. </w:t>
      </w:r>
    </w:p>
    <w:p w:rsidR="007F6AD4" w:rsidRPr="00FA6EF4" w:rsidRDefault="007F6AD4" w:rsidP="00A03687">
      <w:pPr>
        <w:pStyle w:val="Textedebase"/>
        <w:spacing w:after="240"/>
        <w:ind w:left="0"/>
        <w:jc w:val="left"/>
      </w:pPr>
      <w:r w:rsidRPr="00FA6EF4">
        <w:t xml:space="preserve">En France, les dépenses de santé </w:t>
      </w:r>
      <w:r w:rsidR="008705F4" w:rsidRPr="00FA6EF4">
        <w:t>ont représenté</w:t>
      </w:r>
      <w:r w:rsidR="00700D6E" w:rsidRPr="00FA6EF4">
        <w:t xml:space="preserve"> 11,6% du PIB</w:t>
      </w:r>
      <w:r w:rsidR="008705F4" w:rsidRPr="00FA6EF4">
        <w:t xml:space="preserve"> en 2010</w:t>
      </w:r>
      <w:r w:rsidR="00571D5C">
        <w:t xml:space="preserve"> (source : OCDE)</w:t>
      </w:r>
      <w:r w:rsidR="00700D6E" w:rsidRPr="00FA6EF4">
        <w:t>. En 2050, celles-ci pourrait avoisiner un cinquième du PIB.</w:t>
      </w:r>
    </w:p>
    <w:p w:rsidR="003C3867" w:rsidRPr="00FA6EF4" w:rsidRDefault="003C3867" w:rsidP="00A03687">
      <w:pPr>
        <w:pStyle w:val="Textedebase"/>
        <w:spacing w:after="240"/>
        <w:ind w:left="0"/>
        <w:jc w:val="left"/>
      </w:pPr>
      <w:bookmarkStart w:id="2" w:name="_Toc327450701"/>
      <w:r w:rsidRPr="00FA6EF4">
        <w:lastRenderedPageBreak/>
        <w:t>Aux Etats-Unis, la prise en charge des dépenses de santé par le secteur public est faible (48,2% de la dépense de santé). La France est à l’inverse l’un des pays développés où la prise en charge de la santé par les fonds publics est la plus forte. Seuls les Pays-Bas, les pays scandinaves, le Luxembourg, la République Tchèque et le Japon ont une prise en charge publique supérieure à la France.</w:t>
      </w:r>
    </w:p>
    <w:p w:rsidR="003C3867" w:rsidRPr="00FA6EF4" w:rsidRDefault="003C3867" w:rsidP="00A03687">
      <w:pPr>
        <w:pStyle w:val="Textedebase"/>
        <w:spacing w:after="240"/>
        <w:ind w:left="0"/>
        <w:jc w:val="left"/>
      </w:pPr>
      <w:r w:rsidRPr="00FA6EF4">
        <w:t>En France, le secteur public suppor</w:t>
      </w:r>
      <w:r w:rsidR="00084492">
        <w:t>te 77</w:t>
      </w:r>
      <w:r w:rsidR="0094559F">
        <w:t>% des dépenses de santé.</w:t>
      </w:r>
    </w:p>
    <w:p w:rsidR="003C3867" w:rsidRDefault="003C3867" w:rsidP="00655C9A">
      <w:pPr>
        <w:pStyle w:val="Paragraphedeliste"/>
        <w:spacing w:after="0"/>
        <w:ind w:left="0" w:right="2268"/>
        <w:contextualSpacing w:val="0"/>
        <w:jc w:val="left"/>
        <w:outlineLvl w:val="2"/>
        <w:rPr>
          <w:b/>
          <w:bCs/>
          <w:color w:val="0D0D0D" w:themeColor="text1" w:themeTint="F2"/>
          <w:szCs w:val="20"/>
        </w:rPr>
        <w:sectPr w:rsidR="003C3867" w:rsidSect="003C3867">
          <w:type w:val="continuous"/>
          <w:pgSz w:w="11906" w:h="16838"/>
          <w:pgMar w:top="1928" w:right="1418" w:bottom="1135" w:left="993" w:header="709" w:footer="709" w:gutter="0"/>
          <w:cols w:num="2" w:space="708"/>
          <w:docGrid w:linePitch="360"/>
        </w:sectPr>
      </w:pPr>
    </w:p>
    <w:p w:rsidR="003C3867" w:rsidRDefault="003C3867" w:rsidP="00655C9A">
      <w:pPr>
        <w:pStyle w:val="Paragraphedeliste"/>
        <w:spacing w:after="0"/>
        <w:ind w:left="0" w:right="2268"/>
        <w:contextualSpacing w:val="0"/>
        <w:jc w:val="left"/>
        <w:outlineLvl w:val="2"/>
        <w:rPr>
          <w:b/>
          <w:bCs/>
          <w:color w:val="0D0D0D" w:themeColor="text1" w:themeTint="F2"/>
          <w:szCs w:val="20"/>
        </w:rPr>
      </w:pPr>
    </w:p>
    <w:p w:rsidR="00946C16" w:rsidRDefault="00946C16" w:rsidP="00655C9A">
      <w:pPr>
        <w:pStyle w:val="Paragraphedeliste"/>
        <w:spacing w:after="0"/>
        <w:ind w:left="0" w:right="2268"/>
        <w:contextualSpacing w:val="0"/>
        <w:jc w:val="left"/>
        <w:outlineLvl w:val="2"/>
        <w:rPr>
          <w:b/>
          <w:bCs/>
          <w:color w:val="0D0D0D" w:themeColor="text1" w:themeTint="F2"/>
          <w:szCs w:val="20"/>
        </w:rPr>
      </w:pPr>
    </w:p>
    <w:p w:rsidR="00717CAD" w:rsidRDefault="00F86138" w:rsidP="00655C9A">
      <w:pPr>
        <w:pStyle w:val="Paragraphedeliste"/>
        <w:spacing w:after="0"/>
        <w:ind w:left="0" w:right="2268"/>
        <w:contextualSpacing w:val="0"/>
        <w:jc w:val="left"/>
        <w:outlineLvl w:val="2"/>
        <w:rPr>
          <w:b/>
          <w:bCs/>
          <w:color w:val="0D0D0D" w:themeColor="text1" w:themeTint="F2"/>
          <w:szCs w:val="20"/>
        </w:rPr>
      </w:pPr>
      <w:r>
        <w:rPr>
          <w:b/>
          <w:bCs/>
          <w:noProof/>
          <w:color w:val="0D0D0D" w:themeColor="text1" w:themeTint="F2"/>
          <w:szCs w:val="20"/>
          <w:lang w:eastAsia="fr-FR"/>
        </w:rPr>
        <w:pict>
          <v:shape id="_x0000_s1049" type="#_x0000_t202" style="position:absolute;margin-left:-15.45pt;margin-top:4.8pt;width:253.05pt;height:35.25pt;z-index:251687936;mso-width-relative:margin;mso-height-relative:margin" filled="f" stroked="f">
            <v:textbox>
              <w:txbxContent>
                <w:p w:rsidR="00144D6D" w:rsidRDefault="00144D6D" w:rsidP="00717CAD">
                  <w:pPr>
                    <w:tabs>
                      <w:tab w:val="left" w:pos="993"/>
                    </w:tabs>
                    <w:spacing w:after="0" w:line="240" w:lineRule="auto"/>
                    <w:jc w:val="left"/>
                    <w:rPr>
                      <w:color w:val="7A003C"/>
                      <w:sz w:val="18"/>
                      <w:szCs w:val="18"/>
                    </w:rPr>
                  </w:pPr>
                  <w:r>
                    <w:rPr>
                      <w:color w:val="7A003C"/>
                      <w:sz w:val="18"/>
                      <w:szCs w:val="18"/>
                    </w:rPr>
                    <w:t>Graph 7</w:t>
                  </w:r>
                  <w:r w:rsidRPr="00987897">
                    <w:rPr>
                      <w:color w:val="7A003C"/>
                      <w:sz w:val="18"/>
                      <w:szCs w:val="18"/>
                    </w:rPr>
                    <w:t>.</w:t>
                  </w:r>
                  <w:r>
                    <w:rPr>
                      <w:color w:val="7A003C"/>
                      <w:sz w:val="18"/>
                      <w:szCs w:val="18"/>
                    </w:rPr>
                    <w:tab/>
                  </w:r>
                  <w:r>
                    <w:rPr>
                      <w:b/>
                      <w:color w:val="262626" w:themeColor="text1" w:themeTint="D9"/>
                      <w:sz w:val="20"/>
                      <w:szCs w:val="20"/>
                    </w:rPr>
                    <w:t>Dépense totale de santé dans le PIB</w:t>
                  </w:r>
                </w:p>
                <w:p w:rsidR="00144D6D" w:rsidRPr="00987897" w:rsidRDefault="00144D6D" w:rsidP="00717CAD">
                  <w:pPr>
                    <w:tabs>
                      <w:tab w:val="left" w:pos="993"/>
                    </w:tabs>
                    <w:spacing w:after="0" w:line="240" w:lineRule="auto"/>
                    <w:ind w:firstLine="708"/>
                    <w:jc w:val="left"/>
                    <w:rPr>
                      <w:i/>
                      <w:color w:val="262626" w:themeColor="text1" w:themeTint="D9"/>
                      <w:sz w:val="18"/>
                      <w:szCs w:val="18"/>
                    </w:rPr>
                  </w:pPr>
                  <w:r>
                    <w:rPr>
                      <w:color w:val="7A003C"/>
                      <w:sz w:val="18"/>
                      <w:szCs w:val="18"/>
                    </w:rPr>
                    <w:tab/>
                  </w:r>
                  <w:r>
                    <w:rPr>
                      <w:i/>
                      <w:color w:val="262626" w:themeColor="text1" w:themeTint="D9"/>
                      <w:sz w:val="18"/>
                      <w:szCs w:val="18"/>
                    </w:rPr>
                    <w:t>En pourcentage du PIB</w:t>
                  </w:r>
                </w:p>
                <w:p w:rsidR="00144D6D" w:rsidRPr="00987897" w:rsidRDefault="00144D6D" w:rsidP="00717CAD">
                  <w:pPr>
                    <w:rPr>
                      <w:color w:val="7A003C"/>
                      <w:sz w:val="18"/>
                      <w:szCs w:val="18"/>
                    </w:rPr>
                  </w:pPr>
                </w:p>
              </w:txbxContent>
            </v:textbox>
          </v:shape>
        </w:pict>
      </w:r>
      <w:r>
        <w:rPr>
          <w:b/>
          <w:bCs/>
          <w:noProof/>
          <w:color w:val="0D0D0D" w:themeColor="text1" w:themeTint="F2"/>
          <w:szCs w:val="20"/>
          <w:lang w:eastAsia="fr-FR"/>
        </w:rPr>
        <w:pict>
          <v:shape id="_x0000_s1050" type="#_x0000_t202" style="position:absolute;margin-left:248.85pt;margin-top:4.8pt;width:264.3pt;height:35.25pt;z-index:251689984;mso-width-relative:margin;mso-height-relative:margin" filled="f" stroked="f">
            <v:textbox>
              <w:txbxContent>
                <w:p w:rsidR="00144D6D" w:rsidRDefault="00144D6D" w:rsidP="00717CAD">
                  <w:pPr>
                    <w:tabs>
                      <w:tab w:val="left" w:pos="993"/>
                    </w:tabs>
                    <w:spacing w:after="0" w:line="240" w:lineRule="auto"/>
                    <w:jc w:val="left"/>
                    <w:rPr>
                      <w:color w:val="7A003C"/>
                      <w:sz w:val="18"/>
                      <w:szCs w:val="18"/>
                    </w:rPr>
                  </w:pPr>
                  <w:r>
                    <w:rPr>
                      <w:color w:val="7A003C"/>
                      <w:sz w:val="18"/>
                      <w:szCs w:val="18"/>
                    </w:rPr>
                    <w:t>Graph 8</w:t>
                  </w:r>
                  <w:r w:rsidRPr="00987897">
                    <w:rPr>
                      <w:color w:val="7A003C"/>
                      <w:sz w:val="18"/>
                      <w:szCs w:val="18"/>
                    </w:rPr>
                    <w:t>.</w:t>
                  </w:r>
                  <w:r>
                    <w:rPr>
                      <w:color w:val="7A003C"/>
                      <w:sz w:val="18"/>
                      <w:szCs w:val="18"/>
                    </w:rPr>
                    <w:tab/>
                  </w:r>
                  <w:r>
                    <w:rPr>
                      <w:b/>
                      <w:color w:val="262626" w:themeColor="text1" w:themeTint="D9"/>
                      <w:sz w:val="20"/>
                      <w:szCs w:val="20"/>
                    </w:rPr>
                    <w:t>Poids du public dans le financement de la santé</w:t>
                  </w:r>
                </w:p>
                <w:p w:rsidR="00144D6D" w:rsidRPr="00987897" w:rsidRDefault="00144D6D" w:rsidP="00717CAD">
                  <w:pPr>
                    <w:tabs>
                      <w:tab w:val="left" w:pos="993"/>
                    </w:tabs>
                    <w:spacing w:after="0" w:line="240" w:lineRule="auto"/>
                    <w:ind w:firstLine="708"/>
                    <w:jc w:val="left"/>
                    <w:rPr>
                      <w:i/>
                      <w:color w:val="262626" w:themeColor="text1" w:themeTint="D9"/>
                      <w:sz w:val="18"/>
                      <w:szCs w:val="18"/>
                    </w:rPr>
                  </w:pPr>
                  <w:r>
                    <w:rPr>
                      <w:color w:val="7A003C"/>
                      <w:sz w:val="18"/>
                      <w:szCs w:val="18"/>
                    </w:rPr>
                    <w:tab/>
                  </w:r>
                  <w:r>
                    <w:rPr>
                      <w:i/>
                      <w:color w:val="262626" w:themeColor="text1" w:themeTint="D9"/>
                      <w:sz w:val="18"/>
                      <w:szCs w:val="18"/>
                    </w:rPr>
                    <w:t>En pourcentage de la dépense totale de santé</w:t>
                  </w:r>
                </w:p>
                <w:p w:rsidR="00144D6D" w:rsidRPr="00987897" w:rsidRDefault="00144D6D" w:rsidP="00717CAD">
                  <w:pPr>
                    <w:rPr>
                      <w:color w:val="7A003C"/>
                      <w:sz w:val="18"/>
                      <w:szCs w:val="18"/>
                    </w:rPr>
                  </w:pPr>
                </w:p>
              </w:txbxContent>
            </v:textbox>
          </v:shape>
        </w:pict>
      </w:r>
    </w:p>
    <w:p w:rsidR="00717CAD" w:rsidRDefault="00717CAD" w:rsidP="00655C9A">
      <w:pPr>
        <w:pStyle w:val="Paragraphedeliste"/>
        <w:spacing w:after="0"/>
        <w:ind w:left="0" w:right="2268"/>
        <w:contextualSpacing w:val="0"/>
        <w:jc w:val="left"/>
        <w:outlineLvl w:val="2"/>
        <w:rPr>
          <w:b/>
          <w:bCs/>
          <w:color w:val="0D0D0D" w:themeColor="text1" w:themeTint="F2"/>
          <w:szCs w:val="20"/>
        </w:rPr>
      </w:pPr>
    </w:p>
    <w:p w:rsidR="00717CAD" w:rsidRDefault="00717CAD" w:rsidP="00655C9A">
      <w:pPr>
        <w:pStyle w:val="Paragraphedeliste"/>
        <w:spacing w:after="0"/>
        <w:ind w:left="0" w:right="2268"/>
        <w:contextualSpacing w:val="0"/>
        <w:jc w:val="left"/>
        <w:outlineLvl w:val="2"/>
        <w:rPr>
          <w:b/>
          <w:bCs/>
          <w:color w:val="0D0D0D" w:themeColor="text1" w:themeTint="F2"/>
          <w:szCs w:val="20"/>
        </w:rPr>
      </w:pPr>
      <w:r>
        <w:rPr>
          <w:b/>
          <w:bCs/>
          <w:noProof/>
          <w:color w:val="0D0D0D" w:themeColor="text1" w:themeTint="F2"/>
          <w:szCs w:val="20"/>
          <w:lang w:eastAsia="fr-FR"/>
        </w:rPr>
        <w:drawing>
          <wp:anchor distT="0" distB="0" distL="114300" distR="114300" simplePos="0" relativeHeight="251691008" behindDoc="0" locked="0" layoutInCell="1" allowOverlap="1">
            <wp:simplePos x="0" y="0"/>
            <wp:positionH relativeFrom="column">
              <wp:posOffset>3255645</wp:posOffset>
            </wp:positionH>
            <wp:positionV relativeFrom="paragraph">
              <wp:posOffset>134620</wp:posOffset>
            </wp:positionV>
            <wp:extent cx="3238500" cy="2162175"/>
            <wp:effectExtent l="19050" t="0" r="0" b="0"/>
            <wp:wrapNone/>
            <wp:docPr id="10"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Pr>
          <w:b/>
          <w:bCs/>
          <w:noProof/>
          <w:color w:val="0D0D0D" w:themeColor="text1" w:themeTint="F2"/>
          <w:szCs w:val="20"/>
          <w:lang w:eastAsia="fr-FR"/>
        </w:rPr>
        <w:drawing>
          <wp:anchor distT="0" distB="0" distL="114300" distR="114300" simplePos="0" relativeHeight="251688960" behindDoc="0" locked="0" layoutInCell="1" allowOverlap="1">
            <wp:simplePos x="0" y="0"/>
            <wp:positionH relativeFrom="column">
              <wp:posOffset>-173355</wp:posOffset>
            </wp:positionH>
            <wp:positionV relativeFrom="paragraph">
              <wp:posOffset>134620</wp:posOffset>
            </wp:positionV>
            <wp:extent cx="3240000" cy="2162175"/>
            <wp:effectExtent l="0" t="0" r="0" b="0"/>
            <wp:wrapNone/>
            <wp:docPr id="32"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717CAD" w:rsidRDefault="00717CAD" w:rsidP="00655C9A">
      <w:pPr>
        <w:pStyle w:val="Paragraphedeliste"/>
        <w:spacing w:after="0"/>
        <w:ind w:left="0" w:right="2268"/>
        <w:contextualSpacing w:val="0"/>
        <w:jc w:val="left"/>
        <w:outlineLvl w:val="2"/>
        <w:rPr>
          <w:b/>
          <w:bCs/>
          <w:color w:val="0D0D0D" w:themeColor="text1" w:themeTint="F2"/>
          <w:szCs w:val="20"/>
        </w:rPr>
      </w:pPr>
    </w:p>
    <w:p w:rsidR="00717CAD" w:rsidRDefault="00717CAD" w:rsidP="00655C9A">
      <w:pPr>
        <w:pStyle w:val="Paragraphedeliste"/>
        <w:spacing w:after="0"/>
        <w:ind w:left="0" w:right="2268"/>
        <w:contextualSpacing w:val="0"/>
        <w:jc w:val="left"/>
        <w:outlineLvl w:val="2"/>
        <w:rPr>
          <w:b/>
          <w:bCs/>
          <w:color w:val="0D0D0D" w:themeColor="text1" w:themeTint="F2"/>
          <w:szCs w:val="20"/>
        </w:rPr>
      </w:pPr>
    </w:p>
    <w:p w:rsidR="00717CAD" w:rsidRDefault="00717CAD" w:rsidP="00655C9A">
      <w:pPr>
        <w:pStyle w:val="Paragraphedeliste"/>
        <w:spacing w:after="0"/>
        <w:ind w:left="0" w:right="2268"/>
        <w:contextualSpacing w:val="0"/>
        <w:jc w:val="left"/>
        <w:outlineLvl w:val="2"/>
        <w:rPr>
          <w:b/>
          <w:bCs/>
          <w:color w:val="0D0D0D" w:themeColor="text1" w:themeTint="F2"/>
          <w:szCs w:val="20"/>
        </w:rPr>
      </w:pPr>
    </w:p>
    <w:p w:rsidR="00717CAD" w:rsidRDefault="00717CAD" w:rsidP="00655C9A">
      <w:pPr>
        <w:pStyle w:val="Paragraphedeliste"/>
        <w:spacing w:after="0"/>
        <w:ind w:left="0" w:right="2268"/>
        <w:contextualSpacing w:val="0"/>
        <w:jc w:val="left"/>
        <w:outlineLvl w:val="2"/>
        <w:rPr>
          <w:b/>
          <w:bCs/>
          <w:color w:val="0D0D0D" w:themeColor="text1" w:themeTint="F2"/>
          <w:szCs w:val="20"/>
        </w:rPr>
      </w:pPr>
    </w:p>
    <w:p w:rsidR="00717CAD" w:rsidRDefault="00717CAD" w:rsidP="00655C9A">
      <w:pPr>
        <w:pStyle w:val="Paragraphedeliste"/>
        <w:spacing w:after="0"/>
        <w:ind w:left="0" w:right="2268"/>
        <w:contextualSpacing w:val="0"/>
        <w:jc w:val="left"/>
        <w:outlineLvl w:val="2"/>
        <w:rPr>
          <w:b/>
          <w:bCs/>
          <w:color w:val="0D0D0D" w:themeColor="text1" w:themeTint="F2"/>
          <w:szCs w:val="20"/>
        </w:rPr>
      </w:pPr>
    </w:p>
    <w:p w:rsidR="00717CAD" w:rsidRDefault="00717CAD" w:rsidP="00655C9A">
      <w:pPr>
        <w:pStyle w:val="Paragraphedeliste"/>
        <w:spacing w:after="0"/>
        <w:ind w:left="0" w:right="2268"/>
        <w:contextualSpacing w:val="0"/>
        <w:jc w:val="left"/>
        <w:outlineLvl w:val="2"/>
        <w:rPr>
          <w:b/>
          <w:bCs/>
          <w:color w:val="0D0D0D" w:themeColor="text1" w:themeTint="F2"/>
          <w:szCs w:val="20"/>
        </w:rPr>
      </w:pPr>
    </w:p>
    <w:p w:rsidR="00717CAD" w:rsidRDefault="00717CAD" w:rsidP="00655C9A">
      <w:pPr>
        <w:pStyle w:val="Paragraphedeliste"/>
        <w:spacing w:after="0"/>
        <w:ind w:left="0" w:right="2268"/>
        <w:contextualSpacing w:val="0"/>
        <w:jc w:val="left"/>
        <w:outlineLvl w:val="2"/>
        <w:rPr>
          <w:b/>
          <w:bCs/>
          <w:color w:val="0D0D0D" w:themeColor="text1" w:themeTint="F2"/>
          <w:szCs w:val="20"/>
        </w:rPr>
      </w:pPr>
    </w:p>
    <w:p w:rsidR="00717CAD" w:rsidRDefault="00717CAD" w:rsidP="00655C9A">
      <w:pPr>
        <w:pStyle w:val="Paragraphedeliste"/>
        <w:spacing w:after="0"/>
        <w:ind w:left="0" w:right="2268"/>
        <w:contextualSpacing w:val="0"/>
        <w:jc w:val="left"/>
        <w:outlineLvl w:val="2"/>
        <w:rPr>
          <w:b/>
          <w:bCs/>
          <w:color w:val="0D0D0D" w:themeColor="text1" w:themeTint="F2"/>
          <w:szCs w:val="20"/>
        </w:rPr>
      </w:pPr>
    </w:p>
    <w:p w:rsidR="003C3867" w:rsidRDefault="003C3867" w:rsidP="00655C9A">
      <w:pPr>
        <w:pStyle w:val="Paragraphedeliste"/>
        <w:spacing w:after="0"/>
        <w:ind w:left="0" w:right="2268"/>
        <w:contextualSpacing w:val="0"/>
        <w:jc w:val="left"/>
        <w:outlineLvl w:val="2"/>
        <w:rPr>
          <w:b/>
          <w:bCs/>
          <w:color w:val="0D0D0D" w:themeColor="text1" w:themeTint="F2"/>
          <w:szCs w:val="20"/>
        </w:rPr>
      </w:pPr>
    </w:p>
    <w:bookmarkEnd w:id="2"/>
    <w:p w:rsidR="00655C9A" w:rsidRPr="00655C9A" w:rsidRDefault="00655C9A" w:rsidP="00655C9A">
      <w:pPr>
        <w:pStyle w:val="Paragraphedeliste"/>
        <w:spacing w:after="0"/>
        <w:ind w:left="0"/>
        <w:contextualSpacing w:val="0"/>
        <w:jc w:val="left"/>
        <w:outlineLvl w:val="2"/>
        <w:rPr>
          <w:color w:val="0D0D0D" w:themeColor="text1" w:themeTint="F2"/>
          <w:szCs w:val="20"/>
        </w:rPr>
      </w:pPr>
    </w:p>
    <w:p w:rsidR="00655C9A" w:rsidRPr="00655C9A" w:rsidRDefault="00655C9A" w:rsidP="00655C9A">
      <w:pPr>
        <w:pStyle w:val="Paragraphedeliste"/>
        <w:spacing w:after="0"/>
        <w:ind w:left="0" w:right="2268"/>
        <w:contextualSpacing w:val="0"/>
        <w:jc w:val="left"/>
        <w:outlineLvl w:val="2"/>
        <w:rPr>
          <w:color w:val="0D0D0D" w:themeColor="text1" w:themeTint="F2"/>
          <w:sz w:val="18"/>
          <w:szCs w:val="18"/>
        </w:rPr>
      </w:pPr>
      <w:bookmarkStart w:id="3" w:name="_Toc327450703"/>
      <w:r w:rsidRPr="00655C9A">
        <w:rPr>
          <w:color w:val="0D0D0D" w:themeColor="text1" w:themeTint="F2"/>
          <w:sz w:val="18"/>
          <w:szCs w:val="18"/>
        </w:rPr>
        <w:t>Source : OCDE</w:t>
      </w:r>
      <w:bookmarkEnd w:id="3"/>
    </w:p>
    <w:p w:rsidR="003C3867" w:rsidRDefault="00F86138" w:rsidP="00700D6E">
      <w:pPr>
        <w:pStyle w:val="Textedebase"/>
        <w:ind w:left="0"/>
        <w:rPr>
          <w:color w:val="0D0D0D" w:themeColor="text1" w:themeTint="F2"/>
        </w:rPr>
      </w:pPr>
      <w:r>
        <w:rPr>
          <w:noProof/>
          <w:color w:val="0D0D0D" w:themeColor="text1" w:themeTint="F2"/>
          <w:lang w:eastAsia="fr-FR"/>
        </w:rPr>
        <w:pict>
          <v:shape id="_x0000_s1052" type="#_x0000_t202" style="position:absolute;left:0;text-align:left;margin-left:252.7pt;margin-top:12.05pt;width:142.4pt;height:22.5pt;z-index:251693056;mso-width-relative:margin;mso-height-relative:margin;v-text-anchor:middle" filled="f" stroked="f">
            <v:textbox>
              <w:txbxContent>
                <w:p w:rsidR="00144D6D" w:rsidRPr="00E11DB6" w:rsidRDefault="00144D6D" w:rsidP="00717CAD">
                  <w:pPr>
                    <w:spacing w:after="0" w:line="240" w:lineRule="auto"/>
                    <w:jc w:val="left"/>
                    <w:rPr>
                      <w:color w:val="262626" w:themeColor="text1" w:themeTint="D9"/>
                      <w:sz w:val="18"/>
                      <w:szCs w:val="18"/>
                    </w:rPr>
                  </w:pPr>
                  <w:r>
                    <w:rPr>
                      <w:color w:val="262626" w:themeColor="text1" w:themeTint="D9"/>
                      <w:sz w:val="18"/>
                      <w:szCs w:val="18"/>
                    </w:rPr>
                    <w:t>Source : OCDE (</w:t>
                  </w:r>
                  <w:proofErr w:type="spellStart"/>
                  <w:r>
                    <w:rPr>
                      <w:color w:val="262626" w:themeColor="text1" w:themeTint="D9"/>
                      <w:sz w:val="18"/>
                      <w:szCs w:val="18"/>
                    </w:rPr>
                    <w:t>Health</w:t>
                  </w:r>
                  <w:proofErr w:type="spellEnd"/>
                  <w:r>
                    <w:rPr>
                      <w:color w:val="262626" w:themeColor="text1" w:themeTint="D9"/>
                      <w:sz w:val="18"/>
                      <w:szCs w:val="18"/>
                    </w:rPr>
                    <w:t xml:space="preserve"> Data 2012)</w:t>
                  </w:r>
                </w:p>
                <w:p w:rsidR="00144D6D" w:rsidRPr="00E11DB6" w:rsidRDefault="00144D6D" w:rsidP="00717CAD">
                  <w:pPr>
                    <w:jc w:val="left"/>
                    <w:rPr>
                      <w:color w:val="262626" w:themeColor="text1" w:themeTint="D9"/>
                      <w:sz w:val="18"/>
                      <w:szCs w:val="18"/>
                    </w:rPr>
                  </w:pPr>
                </w:p>
              </w:txbxContent>
            </v:textbox>
          </v:shape>
        </w:pict>
      </w:r>
      <w:r>
        <w:rPr>
          <w:noProof/>
          <w:color w:val="0D0D0D" w:themeColor="text1" w:themeTint="F2"/>
          <w:lang w:eastAsia="fr-FR"/>
        </w:rPr>
        <w:pict>
          <v:shape id="_x0000_s1051" type="#_x0000_t202" style="position:absolute;left:0;text-align:left;margin-left:-10.2pt;margin-top:12.05pt;width:140.55pt;height:22.5pt;z-index:251692032;mso-width-relative:margin;mso-height-relative:margin;v-text-anchor:middle" filled="f" stroked="f">
            <v:textbox>
              <w:txbxContent>
                <w:p w:rsidR="00144D6D" w:rsidRPr="00E11DB6" w:rsidRDefault="00144D6D" w:rsidP="00717CAD">
                  <w:pPr>
                    <w:spacing w:after="0" w:line="240" w:lineRule="auto"/>
                    <w:jc w:val="left"/>
                    <w:rPr>
                      <w:color w:val="262626" w:themeColor="text1" w:themeTint="D9"/>
                      <w:sz w:val="18"/>
                      <w:szCs w:val="18"/>
                    </w:rPr>
                  </w:pPr>
                  <w:r>
                    <w:rPr>
                      <w:color w:val="262626" w:themeColor="text1" w:themeTint="D9"/>
                      <w:sz w:val="18"/>
                      <w:szCs w:val="18"/>
                    </w:rPr>
                    <w:t>Source : OCDE (</w:t>
                  </w:r>
                  <w:proofErr w:type="spellStart"/>
                  <w:r>
                    <w:rPr>
                      <w:color w:val="262626" w:themeColor="text1" w:themeTint="D9"/>
                      <w:sz w:val="18"/>
                      <w:szCs w:val="18"/>
                    </w:rPr>
                    <w:t>Health</w:t>
                  </w:r>
                  <w:proofErr w:type="spellEnd"/>
                  <w:r>
                    <w:rPr>
                      <w:color w:val="262626" w:themeColor="text1" w:themeTint="D9"/>
                      <w:sz w:val="18"/>
                      <w:szCs w:val="18"/>
                    </w:rPr>
                    <w:t xml:space="preserve"> Data 2012)</w:t>
                  </w:r>
                </w:p>
                <w:p w:rsidR="00144D6D" w:rsidRPr="00E11DB6" w:rsidRDefault="00144D6D" w:rsidP="00717CAD">
                  <w:pPr>
                    <w:jc w:val="left"/>
                    <w:rPr>
                      <w:color w:val="262626" w:themeColor="text1" w:themeTint="D9"/>
                      <w:sz w:val="18"/>
                      <w:szCs w:val="18"/>
                    </w:rPr>
                  </w:pPr>
                </w:p>
              </w:txbxContent>
            </v:textbox>
          </v:shape>
        </w:pict>
      </w:r>
    </w:p>
    <w:p w:rsidR="003C3867" w:rsidRDefault="003C3867" w:rsidP="00700D6E">
      <w:pPr>
        <w:pStyle w:val="Textedebase"/>
        <w:ind w:left="0"/>
        <w:rPr>
          <w:color w:val="0D0D0D" w:themeColor="text1" w:themeTint="F2"/>
        </w:rPr>
      </w:pPr>
    </w:p>
    <w:p w:rsidR="00655C9A" w:rsidRDefault="00655C9A" w:rsidP="00655C9A">
      <w:pPr>
        <w:spacing w:after="0" w:line="240" w:lineRule="auto"/>
        <w:jc w:val="left"/>
        <w:rPr>
          <w:color w:val="0D0D0D" w:themeColor="text1" w:themeTint="F2"/>
        </w:rPr>
      </w:pPr>
    </w:p>
    <w:p w:rsidR="00946C16" w:rsidRDefault="00946C16" w:rsidP="00655C9A">
      <w:pPr>
        <w:spacing w:after="0" w:line="240" w:lineRule="auto"/>
        <w:jc w:val="left"/>
        <w:rPr>
          <w:color w:val="0D0D0D" w:themeColor="text1" w:themeTint="F2"/>
        </w:rPr>
      </w:pPr>
    </w:p>
    <w:p w:rsidR="00946C16" w:rsidRDefault="00946C16" w:rsidP="00655C9A">
      <w:pPr>
        <w:spacing w:after="0" w:line="240" w:lineRule="auto"/>
        <w:jc w:val="left"/>
        <w:rPr>
          <w:color w:val="0D0D0D" w:themeColor="text1" w:themeTint="F2"/>
        </w:rPr>
      </w:pPr>
    </w:p>
    <w:p w:rsidR="00946C16" w:rsidRDefault="00946C16" w:rsidP="00655C9A">
      <w:pPr>
        <w:spacing w:after="0" w:line="240" w:lineRule="auto"/>
        <w:jc w:val="left"/>
        <w:rPr>
          <w:color w:val="0D0D0D" w:themeColor="text1" w:themeTint="F2"/>
        </w:rPr>
      </w:pPr>
    </w:p>
    <w:p w:rsidR="00946C16" w:rsidRDefault="00946C16" w:rsidP="00655C9A">
      <w:pPr>
        <w:spacing w:after="0" w:line="240" w:lineRule="auto"/>
        <w:jc w:val="left"/>
        <w:rPr>
          <w:color w:val="0D0D0D" w:themeColor="text1" w:themeTint="F2"/>
        </w:rPr>
      </w:pPr>
    </w:p>
    <w:p w:rsidR="00946C16" w:rsidRDefault="00946C16" w:rsidP="00655C9A">
      <w:pPr>
        <w:spacing w:after="0" w:line="240" w:lineRule="auto"/>
        <w:jc w:val="left"/>
        <w:rPr>
          <w:color w:val="0D0D0D" w:themeColor="text1" w:themeTint="F2"/>
        </w:rPr>
      </w:pPr>
    </w:p>
    <w:p w:rsidR="00946C16" w:rsidRDefault="00946C16" w:rsidP="00655C9A">
      <w:pPr>
        <w:spacing w:after="0" w:line="240" w:lineRule="auto"/>
        <w:jc w:val="left"/>
        <w:rPr>
          <w:color w:val="0D0D0D" w:themeColor="text1" w:themeTint="F2"/>
        </w:rPr>
      </w:pPr>
    </w:p>
    <w:p w:rsidR="00946C16" w:rsidRDefault="00946C16" w:rsidP="00655C9A">
      <w:pPr>
        <w:spacing w:after="0" w:line="240" w:lineRule="auto"/>
        <w:jc w:val="left"/>
        <w:rPr>
          <w:color w:val="0D0D0D" w:themeColor="text1" w:themeTint="F2"/>
        </w:rPr>
      </w:pPr>
    </w:p>
    <w:p w:rsidR="00946C16" w:rsidRDefault="00946C16" w:rsidP="00655C9A">
      <w:pPr>
        <w:spacing w:after="0" w:line="240" w:lineRule="auto"/>
        <w:jc w:val="left"/>
        <w:rPr>
          <w:color w:val="0D0D0D" w:themeColor="text1" w:themeTint="F2"/>
        </w:rPr>
      </w:pPr>
    </w:p>
    <w:p w:rsidR="00946C16" w:rsidRDefault="00946C16" w:rsidP="00655C9A">
      <w:pPr>
        <w:spacing w:after="0" w:line="240" w:lineRule="auto"/>
        <w:jc w:val="left"/>
        <w:rPr>
          <w:color w:val="0D0D0D" w:themeColor="text1" w:themeTint="F2"/>
        </w:rPr>
      </w:pPr>
    </w:p>
    <w:p w:rsidR="00946C16" w:rsidRDefault="00946C16" w:rsidP="00655C9A">
      <w:pPr>
        <w:spacing w:after="0" w:line="240" w:lineRule="auto"/>
        <w:jc w:val="left"/>
        <w:rPr>
          <w:color w:val="0D0D0D" w:themeColor="text1" w:themeTint="F2"/>
        </w:rPr>
      </w:pPr>
    </w:p>
    <w:p w:rsidR="00946C16" w:rsidRDefault="00946C16" w:rsidP="00655C9A">
      <w:pPr>
        <w:spacing w:after="0" w:line="240" w:lineRule="auto"/>
        <w:jc w:val="left"/>
        <w:rPr>
          <w:color w:val="0D0D0D" w:themeColor="text1" w:themeTint="F2"/>
        </w:rPr>
      </w:pPr>
    </w:p>
    <w:p w:rsidR="00946C16" w:rsidRDefault="00F86138" w:rsidP="00655C9A">
      <w:pPr>
        <w:spacing w:after="0" w:line="240" w:lineRule="auto"/>
        <w:jc w:val="left"/>
        <w:rPr>
          <w:color w:val="0D0D0D" w:themeColor="text1" w:themeTint="F2"/>
        </w:rPr>
      </w:pPr>
      <w:r>
        <w:rPr>
          <w:noProof/>
          <w:color w:val="0D0D0D" w:themeColor="text1" w:themeTint="F2"/>
          <w:lang w:eastAsia="fr-FR"/>
        </w:rPr>
        <w:pict>
          <v:shape id="_x0000_s1053" type="#_x0000_t202" style="position:absolute;margin-left:-3.45pt;margin-top:7.1pt;width:279.3pt;height:26.25pt;z-index:251696128;mso-width-relative:margin;mso-height-relative:margin" filled="f" stroked="f">
            <v:textbox>
              <w:txbxContent>
                <w:p w:rsidR="00144D6D" w:rsidRPr="00946C16" w:rsidRDefault="00144D6D" w:rsidP="00946C16">
                  <w:pPr>
                    <w:tabs>
                      <w:tab w:val="left" w:pos="993"/>
                    </w:tabs>
                    <w:spacing w:after="0" w:line="240" w:lineRule="auto"/>
                    <w:jc w:val="left"/>
                    <w:rPr>
                      <w:color w:val="7A003C"/>
                      <w:sz w:val="18"/>
                      <w:szCs w:val="18"/>
                    </w:rPr>
                  </w:pPr>
                  <w:r>
                    <w:rPr>
                      <w:color w:val="7A003C"/>
                      <w:sz w:val="18"/>
                      <w:szCs w:val="18"/>
                    </w:rPr>
                    <w:t>Graph 9</w:t>
                  </w:r>
                  <w:r w:rsidRPr="00987897">
                    <w:rPr>
                      <w:color w:val="7A003C"/>
                      <w:sz w:val="18"/>
                      <w:szCs w:val="18"/>
                    </w:rPr>
                    <w:t>.</w:t>
                  </w:r>
                  <w:r>
                    <w:rPr>
                      <w:color w:val="7A003C"/>
                      <w:sz w:val="18"/>
                      <w:szCs w:val="18"/>
                    </w:rPr>
                    <w:tab/>
                  </w:r>
                  <w:r>
                    <w:rPr>
                      <w:b/>
                      <w:color w:val="262626" w:themeColor="text1" w:themeTint="D9"/>
                      <w:sz w:val="20"/>
                      <w:szCs w:val="20"/>
                    </w:rPr>
                    <w:t>Dépense totale de santé dans les pays de l’OCDE</w:t>
                  </w:r>
                </w:p>
                <w:p w:rsidR="00144D6D" w:rsidRPr="00987897" w:rsidRDefault="00144D6D" w:rsidP="00946C16">
                  <w:pPr>
                    <w:rPr>
                      <w:color w:val="7A003C"/>
                      <w:sz w:val="18"/>
                      <w:szCs w:val="18"/>
                    </w:rPr>
                  </w:pPr>
                </w:p>
              </w:txbxContent>
            </v:textbox>
          </v:shape>
        </w:pict>
      </w:r>
    </w:p>
    <w:p w:rsidR="00946C16" w:rsidRDefault="00946C16" w:rsidP="00655C9A">
      <w:pPr>
        <w:spacing w:after="0" w:line="240" w:lineRule="auto"/>
        <w:jc w:val="left"/>
        <w:rPr>
          <w:color w:val="0D0D0D" w:themeColor="text1" w:themeTint="F2"/>
        </w:rPr>
      </w:pPr>
    </w:p>
    <w:p w:rsidR="00946C16" w:rsidRDefault="00946C16" w:rsidP="00655C9A">
      <w:pPr>
        <w:spacing w:after="0" w:line="240" w:lineRule="auto"/>
        <w:jc w:val="left"/>
        <w:rPr>
          <w:color w:val="0D0D0D" w:themeColor="text1" w:themeTint="F2"/>
        </w:rPr>
      </w:pPr>
      <w:r>
        <w:rPr>
          <w:noProof/>
          <w:color w:val="0D0D0D" w:themeColor="text1" w:themeTint="F2"/>
          <w:lang w:eastAsia="fr-FR"/>
        </w:rPr>
        <w:drawing>
          <wp:anchor distT="0" distB="0" distL="114300" distR="114300" simplePos="0" relativeHeight="251695104" behindDoc="0" locked="0" layoutInCell="1" allowOverlap="1">
            <wp:simplePos x="0" y="0"/>
            <wp:positionH relativeFrom="column">
              <wp:posOffset>3017520</wp:posOffset>
            </wp:positionH>
            <wp:positionV relativeFrom="paragraph">
              <wp:posOffset>78740</wp:posOffset>
            </wp:positionV>
            <wp:extent cx="2714625" cy="5105400"/>
            <wp:effectExtent l="19050" t="0" r="0" b="0"/>
            <wp:wrapNone/>
            <wp:docPr id="21"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Pr>
          <w:noProof/>
          <w:color w:val="0D0D0D" w:themeColor="text1" w:themeTint="F2"/>
          <w:lang w:eastAsia="fr-FR"/>
        </w:rPr>
        <w:drawing>
          <wp:anchor distT="0" distB="0" distL="114300" distR="114300" simplePos="0" relativeHeight="251694080" behindDoc="0" locked="0" layoutInCell="1" allowOverlap="1">
            <wp:simplePos x="0" y="0"/>
            <wp:positionH relativeFrom="column">
              <wp:posOffset>-11430</wp:posOffset>
            </wp:positionH>
            <wp:positionV relativeFrom="paragraph">
              <wp:posOffset>78740</wp:posOffset>
            </wp:positionV>
            <wp:extent cx="2762250" cy="5040000"/>
            <wp:effectExtent l="0" t="0" r="0" b="0"/>
            <wp:wrapNone/>
            <wp:docPr id="16"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946C16" w:rsidRDefault="00946C16" w:rsidP="00655C9A">
      <w:pPr>
        <w:spacing w:after="0" w:line="240" w:lineRule="auto"/>
        <w:jc w:val="left"/>
        <w:rPr>
          <w:color w:val="0D0D0D" w:themeColor="text1" w:themeTint="F2"/>
        </w:rPr>
      </w:pPr>
    </w:p>
    <w:p w:rsidR="00946C16" w:rsidRDefault="00946C16" w:rsidP="00655C9A">
      <w:pPr>
        <w:spacing w:after="0" w:line="240" w:lineRule="auto"/>
        <w:jc w:val="left"/>
        <w:rPr>
          <w:color w:val="0D0D0D" w:themeColor="text1" w:themeTint="F2"/>
        </w:rPr>
      </w:pPr>
    </w:p>
    <w:p w:rsidR="00946C16" w:rsidRDefault="00946C16" w:rsidP="00655C9A">
      <w:pPr>
        <w:spacing w:after="0" w:line="240" w:lineRule="auto"/>
        <w:jc w:val="left"/>
        <w:rPr>
          <w:color w:val="0D0D0D" w:themeColor="text1" w:themeTint="F2"/>
        </w:rPr>
      </w:pPr>
    </w:p>
    <w:p w:rsidR="00946C16" w:rsidRDefault="00946C16" w:rsidP="00655C9A">
      <w:pPr>
        <w:spacing w:after="0" w:line="240" w:lineRule="auto"/>
        <w:jc w:val="left"/>
        <w:rPr>
          <w:color w:val="0D0D0D" w:themeColor="text1" w:themeTint="F2"/>
        </w:rPr>
      </w:pPr>
    </w:p>
    <w:p w:rsidR="00946C16" w:rsidRDefault="00946C16" w:rsidP="00655C9A">
      <w:pPr>
        <w:spacing w:after="0" w:line="240" w:lineRule="auto"/>
        <w:jc w:val="left"/>
        <w:rPr>
          <w:color w:val="0D0D0D" w:themeColor="text1" w:themeTint="F2"/>
        </w:rPr>
      </w:pPr>
    </w:p>
    <w:p w:rsidR="00946C16" w:rsidRPr="00655C9A" w:rsidRDefault="00946C16" w:rsidP="00655C9A">
      <w:pPr>
        <w:spacing w:after="0" w:line="240" w:lineRule="auto"/>
        <w:jc w:val="left"/>
        <w:rPr>
          <w:color w:val="0D0D0D" w:themeColor="text1" w:themeTint="F2"/>
        </w:rPr>
      </w:pPr>
    </w:p>
    <w:p w:rsidR="0002212E" w:rsidRDefault="0002212E" w:rsidP="00655C9A">
      <w:pPr>
        <w:pStyle w:val="Textedebase"/>
        <w:ind w:left="0"/>
        <w:rPr>
          <w:color w:val="0D0D0D" w:themeColor="text1" w:themeTint="F2"/>
        </w:rPr>
      </w:pPr>
    </w:p>
    <w:p w:rsidR="008A7365" w:rsidRPr="00655C9A" w:rsidRDefault="0020760F" w:rsidP="00655C9A">
      <w:pPr>
        <w:pStyle w:val="Textedebase"/>
        <w:ind w:left="0"/>
        <w:rPr>
          <w:color w:val="0D0D0D" w:themeColor="text1" w:themeTint="F2"/>
        </w:rPr>
      </w:pPr>
      <w:r w:rsidRPr="0020760F">
        <w:rPr>
          <w:noProof/>
          <w:lang w:eastAsia="fr-FR"/>
        </w:rPr>
        <w:t xml:space="preserve"> </w:t>
      </w:r>
    </w:p>
    <w:p w:rsidR="00621120" w:rsidRDefault="00621120" w:rsidP="00621120">
      <w:pPr>
        <w:pStyle w:val="Paragraphedeliste"/>
        <w:spacing w:after="0" w:line="240" w:lineRule="auto"/>
        <w:ind w:left="2835" w:right="2408"/>
        <w:contextualSpacing w:val="0"/>
        <w:jc w:val="center"/>
        <w:outlineLvl w:val="2"/>
        <w:rPr>
          <w:sz w:val="18"/>
          <w:szCs w:val="18"/>
        </w:rPr>
      </w:pPr>
    </w:p>
    <w:p w:rsidR="006C5965" w:rsidRDefault="006C5965" w:rsidP="00621120">
      <w:pPr>
        <w:pStyle w:val="Paragraphedeliste"/>
        <w:spacing w:after="0" w:line="240" w:lineRule="auto"/>
        <w:ind w:left="2835" w:right="2408"/>
        <w:contextualSpacing w:val="0"/>
        <w:jc w:val="center"/>
        <w:outlineLvl w:val="2"/>
        <w:rPr>
          <w:sz w:val="18"/>
          <w:szCs w:val="18"/>
        </w:rPr>
      </w:pPr>
    </w:p>
    <w:p w:rsidR="006C5965" w:rsidRDefault="006C5965" w:rsidP="00621120">
      <w:pPr>
        <w:pStyle w:val="Paragraphedeliste"/>
        <w:spacing w:after="0" w:line="240" w:lineRule="auto"/>
        <w:ind w:left="2835" w:right="2408"/>
        <w:contextualSpacing w:val="0"/>
        <w:jc w:val="center"/>
        <w:outlineLvl w:val="2"/>
        <w:rPr>
          <w:sz w:val="18"/>
          <w:szCs w:val="18"/>
        </w:rPr>
      </w:pPr>
    </w:p>
    <w:p w:rsidR="006C5965" w:rsidRDefault="006C5965" w:rsidP="00621120">
      <w:pPr>
        <w:pStyle w:val="Paragraphedeliste"/>
        <w:spacing w:after="0" w:line="240" w:lineRule="auto"/>
        <w:ind w:left="2835" w:right="2408"/>
        <w:contextualSpacing w:val="0"/>
        <w:jc w:val="center"/>
        <w:outlineLvl w:val="2"/>
        <w:rPr>
          <w:sz w:val="18"/>
          <w:szCs w:val="18"/>
        </w:rPr>
      </w:pPr>
    </w:p>
    <w:p w:rsidR="00946C16" w:rsidRDefault="00946C16" w:rsidP="00621120">
      <w:pPr>
        <w:pStyle w:val="Paragraphedeliste"/>
        <w:spacing w:after="0" w:line="240" w:lineRule="auto"/>
        <w:ind w:left="2835" w:right="2408"/>
        <w:contextualSpacing w:val="0"/>
        <w:jc w:val="center"/>
        <w:outlineLvl w:val="2"/>
        <w:rPr>
          <w:sz w:val="18"/>
          <w:szCs w:val="18"/>
        </w:rPr>
      </w:pPr>
    </w:p>
    <w:p w:rsidR="00946C16" w:rsidRDefault="00946C16" w:rsidP="00621120">
      <w:pPr>
        <w:pStyle w:val="Paragraphedeliste"/>
        <w:spacing w:after="0" w:line="240" w:lineRule="auto"/>
        <w:ind w:left="2835" w:right="2408"/>
        <w:contextualSpacing w:val="0"/>
        <w:jc w:val="center"/>
        <w:outlineLvl w:val="2"/>
        <w:rPr>
          <w:sz w:val="18"/>
          <w:szCs w:val="18"/>
        </w:rPr>
      </w:pPr>
    </w:p>
    <w:p w:rsidR="00946C16" w:rsidRDefault="00946C16" w:rsidP="00621120">
      <w:pPr>
        <w:pStyle w:val="Paragraphedeliste"/>
        <w:spacing w:after="0" w:line="240" w:lineRule="auto"/>
        <w:ind w:left="2835" w:right="2408"/>
        <w:contextualSpacing w:val="0"/>
        <w:jc w:val="center"/>
        <w:outlineLvl w:val="2"/>
        <w:rPr>
          <w:sz w:val="18"/>
          <w:szCs w:val="18"/>
        </w:rPr>
      </w:pPr>
    </w:p>
    <w:p w:rsidR="00946C16" w:rsidRDefault="00946C16" w:rsidP="00621120">
      <w:pPr>
        <w:pStyle w:val="Paragraphedeliste"/>
        <w:spacing w:after="0" w:line="240" w:lineRule="auto"/>
        <w:ind w:left="2835" w:right="2408"/>
        <w:contextualSpacing w:val="0"/>
        <w:jc w:val="center"/>
        <w:outlineLvl w:val="2"/>
        <w:rPr>
          <w:sz w:val="18"/>
          <w:szCs w:val="18"/>
        </w:rPr>
      </w:pPr>
    </w:p>
    <w:p w:rsidR="00946C16" w:rsidRDefault="00946C16" w:rsidP="00621120">
      <w:pPr>
        <w:pStyle w:val="Paragraphedeliste"/>
        <w:spacing w:after="0" w:line="240" w:lineRule="auto"/>
        <w:ind w:left="2835" w:right="2408"/>
        <w:contextualSpacing w:val="0"/>
        <w:jc w:val="center"/>
        <w:outlineLvl w:val="2"/>
        <w:rPr>
          <w:sz w:val="18"/>
          <w:szCs w:val="18"/>
        </w:rPr>
      </w:pPr>
    </w:p>
    <w:p w:rsidR="00946C16" w:rsidRDefault="00946C16" w:rsidP="00621120">
      <w:pPr>
        <w:pStyle w:val="Paragraphedeliste"/>
        <w:spacing w:after="0" w:line="240" w:lineRule="auto"/>
        <w:ind w:left="2835" w:right="2408"/>
        <w:contextualSpacing w:val="0"/>
        <w:jc w:val="center"/>
        <w:outlineLvl w:val="2"/>
        <w:rPr>
          <w:sz w:val="18"/>
          <w:szCs w:val="18"/>
        </w:rPr>
      </w:pPr>
    </w:p>
    <w:p w:rsidR="00946C16" w:rsidRDefault="00946C16" w:rsidP="00621120">
      <w:pPr>
        <w:pStyle w:val="Paragraphedeliste"/>
        <w:spacing w:after="0" w:line="240" w:lineRule="auto"/>
        <w:ind w:left="2835" w:right="2408"/>
        <w:contextualSpacing w:val="0"/>
        <w:jc w:val="center"/>
        <w:outlineLvl w:val="2"/>
        <w:rPr>
          <w:sz w:val="18"/>
          <w:szCs w:val="18"/>
        </w:rPr>
      </w:pPr>
    </w:p>
    <w:p w:rsidR="00946C16" w:rsidRDefault="00946C16" w:rsidP="00621120">
      <w:pPr>
        <w:pStyle w:val="Paragraphedeliste"/>
        <w:spacing w:after="0" w:line="240" w:lineRule="auto"/>
        <w:ind w:left="2835" w:right="2408"/>
        <w:contextualSpacing w:val="0"/>
        <w:jc w:val="center"/>
        <w:outlineLvl w:val="2"/>
        <w:rPr>
          <w:sz w:val="18"/>
          <w:szCs w:val="18"/>
        </w:rPr>
      </w:pPr>
    </w:p>
    <w:p w:rsidR="00946C16" w:rsidRDefault="00946C16" w:rsidP="00621120">
      <w:pPr>
        <w:pStyle w:val="Paragraphedeliste"/>
        <w:spacing w:after="0" w:line="240" w:lineRule="auto"/>
        <w:ind w:left="2835" w:right="2408"/>
        <w:contextualSpacing w:val="0"/>
        <w:jc w:val="center"/>
        <w:outlineLvl w:val="2"/>
        <w:rPr>
          <w:sz w:val="18"/>
          <w:szCs w:val="18"/>
        </w:rPr>
      </w:pPr>
    </w:p>
    <w:p w:rsidR="00946C16" w:rsidRDefault="00946C16" w:rsidP="00621120">
      <w:pPr>
        <w:pStyle w:val="Paragraphedeliste"/>
        <w:spacing w:after="0" w:line="240" w:lineRule="auto"/>
        <w:ind w:left="2835" w:right="2408"/>
        <w:contextualSpacing w:val="0"/>
        <w:jc w:val="center"/>
        <w:outlineLvl w:val="2"/>
        <w:rPr>
          <w:sz w:val="18"/>
          <w:szCs w:val="18"/>
        </w:rPr>
      </w:pPr>
    </w:p>
    <w:p w:rsidR="00946C16" w:rsidRDefault="00946C16" w:rsidP="00621120">
      <w:pPr>
        <w:pStyle w:val="Paragraphedeliste"/>
        <w:spacing w:after="0" w:line="240" w:lineRule="auto"/>
        <w:ind w:left="2835" w:right="2408"/>
        <w:contextualSpacing w:val="0"/>
        <w:jc w:val="center"/>
        <w:outlineLvl w:val="2"/>
        <w:rPr>
          <w:sz w:val="18"/>
          <w:szCs w:val="18"/>
        </w:rPr>
      </w:pPr>
    </w:p>
    <w:p w:rsidR="00946C16" w:rsidRDefault="00946C16" w:rsidP="00621120">
      <w:pPr>
        <w:pStyle w:val="Paragraphedeliste"/>
        <w:spacing w:after="0" w:line="240" w:lineRule="auto"/>
        <w:ind w:left="2835" w:right="2408"/>
        <w:contextualSpacing w:val="0"/>
        <w:jc w:val="center"/>
        <w:outlineLvl w:val="2"/>
        <w:rPr>
          <w:sz w:val="18"/>
          <w:szCs w:val="18"/>
        </w:rPr>
      </w:pPr>
    </w:p>
    <w:p w:rsidR="00946C16" w:rsidRDefault="00946C16" w:rsidP="00621120">
      <w:pPr>
        <w:pStyle w:val="Paragraphedeliste"/>
        <w:spacing w:after="0" w:line="240" w:lineRule="auto"/>
        <w:ind w:left="2835" w:right="2408"/>
        <w:contextualSpacing w:val="0"/>
        <w:jc w:val="center"/>
        <w:outlineLvl w:val="2"/>
        <w:rPr>
          <w:sz w:val="18"/>
          <w:szCs w:val="18"/>
        </w:rPr>
      </w:pPr>
    </w:p>
    <w:p w:rsidR="00946C16" w:rsidRDefault="00946C16" w:rsidP="00621120">
      <w:pPr>
        <w:pStyle w:val="Paragraphedeliste"/>
        <w:spacing w:after="0" w:line="240" w:lineRule="auto"/>
        <w:ind w:left="2835" w:right="2408"/>
        <w:contextualSpacing w:val="0"/>
        <w:jc w:val="center"/>
        <w:outlineLvl w:val="2"/>
        <w:rPr>
          <w:sz w:val="18"/>
          <w:szCs w:val="18"/>
        </w:rPr>
      </w:pPr>
    </w:p>
    <w:p w:rsidR="00946C16" w:rsidRDefault="00946C16" w:rsidP="00621120">
      <w:pPr>
        <w:pStyle w:val="Paragraphedeliste"/>
        <w:spacing w:after="0" w:line="240" w:lineRule="auto"/>
        <w:ind w:left="2835" w:right="2408"/>
        <w:contextualSpacing w:val="0"/>
        <w:jc w:val="center"/>
        <w:outlineLvl w:val="2"/>
        <w:rPr>
          <w:sz w:val="18"/>
          <w:szCs w:val="18"/>
        </w:rPr>
      </w:pPr>
    </w:p>
    <w:p w:rsidR="00946C16" w:rsidRDefault="00946C16" w:rsidP="00621120">
      <w:pPr>
        <w:pStyle w:val="Paragraphedeliste"/>
        <w:spacing w:after="0" w:line="240" w:lineRule="auto"/>
        <w:ind w:left="2835" w:right="2408"/>
        <w:contextualSpacing w:val="0"/>
        <w:jc w:val="center"/>
        <w:outlineLvl w:val="2"/>
        <w:rPr>
          <w:sz w:val="18"/>
          <w:szCs w:val="18"/>
        </w:rPr>
      </w:pPr>
    </w:p>
    <w:p w:rsidR="00946C16" w:rsidRDefault="00946C16" w:rsidP="00621120">
      <w:pPr>
        <w:pStyle w:val="Paragraphedeliste"/>
        <w:spacing w:after="0" w:line="240" w:lineRule="auto"/>
        <w:ind w:left="2835" w:right="2408"/>
        <w:contextualSpacing w:val="0"/>
        <w:jc w:val="center"/>
        <w:outlineLvl w:val="2"/>
        <w:rPr>
          <w:sz w:val="18"/>
          <w:szCs w:val="18"/>
        </w:rPr>
      </w:pPr>
    </w:p>
    <w:p w:rsidR="00946C16" w:rsidRDefault="00946C16" w:rsidP="00621120">
      <w:pPr>
        <w:pStyle w:val="Paragraphedeliste"/>
        <w:spacing w:after="0" w:line="240" w:lineRule="auto"/>
        <w:ind w:left="2835" w:right="2408"/>
        <w:contextualSpacing w:val="0"/>
        <w:jc w:val="center"/>
        <w:outlineLvl w:val="2"/>
        <w:rPr>
          <w:sz w:val="18"/>
          <w:szCs w:val="18"/>
        </w:rPr>
      </w:pPr>
    </w:p>
    <w:p w:rsidR="00946C16" w:rsidRDefault="00946C16" w:rsidP="00621120">
      <w:pPr>
        <w:pStyle w:val="Paragraphedeliste"/>
        <w:spacing w:after="0" w:line="240" w:lineRule="auto"/>
        <w:ind w:left="2835" w:right="2408"/>
        <w:contextualSpacing w:val="0"/>
        <w:jc w:val="center"/>
        <w:outlineLvl w:val="2"/>
        <w:rPr>
          <w:sz w:val="18"/>
          <w:szCs w:val="18"/>
        </w:rPr>
      </w:pPr>
    </w:p>
    <w:p w:rsidR="00946C16" w:rsidRDefault="00946C16" w:rsidP="00621120">
      <w:pPr>
        <w:pStyle w:val="Paragraphedeliste"/>
        <w:spacing w:after="0" w:line="240" w:lineRule="auto"/>
        <w:ind w:left="2835" w:right="2408"/>
        <w:contextualSpacing w:val="0"/>
        <w:jc w:val="center"/>
        <w:outlineLvl w:val="2"/>
        <w:rPr>
          <w:sz w:val="18"/>
          <w:szCs w:val="18"/>
        </w:rPr>
      </w:pPr>
    </w:p>
    <w:p w:rsidR="00946C16" w:rsidRDefault="00946C16" w:rsidP="00621120">
      <w:pPr>
        <w:pStyle w:val="Paragraphedeliste"/>
        <w:spacing w:after="0" w:line="240" w:lineRule="auto"/>
        <w:ind w:left="2835" w:right="2408"/>
        <w:contextualSpacing w:val="0"/>
        <w:jc w:val="center"/>
        <w:outlineLvl w:val="2"/>
        <w:rPr>
          <w:sz w:val="18"/>
          <w:szCs w:val="18"/>
        </w:rPr>
      </w:pPr>
    </w:p>
    <w:p w:rsidR="00946C16" w:rsidRDefault="00F86138" w:rsidP="00621120">
      <w:pPr>
        <w:pStyle w:val="Paragraphedeliste"/>
        <w:spacing w:after="0" w:line="240" w:lineRule="auto"/>
        <w:ind w:left="2835" w:right="2408"/>
        <w:contextualSpacing w:val="0"/>
        <w:jc w:val="center"/>
        <w:outlineLvl w:val="2"/>
        <w:rPr>
          <w:sz w:val="18"/>
          <w:szCs w:val="18"/>
        </w:rPr>
      </w:pPr>
      <w:r>
        <w:rPr>
          <w:noProof/>
          <w:sz w:val="18"/>
          <w:szCs w:val="18"/>
          <w:lang w:eastAsia="fr-FR"/>
        </w:rPr>
        <w:pict>
          <v:shape id="_x0000_s1054" type="#_x0000_t202" style="position:absolute;left:0;text-align:left;margin-left:-3.45pt;margin-top:6.95pt;width:327.3pt;height:51pt;z-index:251697152;mso-width-relative:margin;mso-height-relative:margin;v-text-anchor:middle" filled="f" stroked="f">
            <v:textbox>
              <w:txbxContent>
                <w:p w:rsidR="00144D6D" w:rsidRDefault="00144D6D" w:rsidP="000B731A">
                  <w:pPr>
                    <w:spacing w:after="0" w:line="240" w:lineRule="auto"/>
                    <w:jc w:val="left"/>
                    <w:rPr>
                      <w:color w:val="262626" w:themeColor="text1" w:themeTint="D9"/>
                      <w:sz w:val="18"/>
                      <w:szCs w:val="18"/>
                    </w:rPr>
                  </w:pPr>
                  <w:r w:rsidRPr="000B731A">
                    <w:rPr>
                      <w:color w:val="262626" w:themeColor="text1" w:themeTint="D9"/>
                      <w:sz w:val="18"/>
                      <w:szCs w:val="18"/>
                    </w:rPr>
                    <w:t xml:space="preserve">Note : * données 2009 </w:t>
                  </w:r>
                  <w:r>
                    <w:rPr>
                      <w:color w:val="262626" w:themeColor="text1" w:themeTint="D9"/>
                      <w:sz w:val="18"/>
                      <w:szCs w:val="18"/>
                    </w:rPr>
                    <w:t>(</w:t>
                  </w:r>
                  <w:r w:rsidRPr="000B731A">
                    <w:rPr>
                      <w:color w:val="262626" w:themeColor="text1" w:themeTint="D9"/>
                      <w:sz w:val="18"/>
                      <w:szCs w:val="18"/>
                    </w:rPr>
                    <w:t>ou dernière a</w:t>
                  </w:r>
                  <w:r>
                    <w:rPr>
                      <w:color w:val="262626" w:themeColor="text1" w:themeTint="D9"/>
                      <w:sz w:val="18"/>
                      <w:szCs w:val="18"/>
                    </w:rPr>
                    <w:t>nnée connue)</w:t>
                  </w:r>
                </w:p>
                <w:p w:rsidR="00144D6D" w:rsidRPr="0048417D" w:rsidRDefault="00144D6D" w:rsidP="00084492">
                  <w:pPr>
                    <w:tabs>
                      <w:tab w:val="left" w:pos="426"/>
                    </w:tabs>
                    <w:spacing w:after="120" w:line="240" w:lineRule="auto"/>
                    <w:jc w:val="left"/>
                    <w:rPr>
                      <w:color w:val="262626" w:themeColor="text1" w:themeTint="D9"/>
                      <w:sz w:val="18"/>
                      <w:szCs w:val="18"/>
                    </w:rPr>
                  </w:pPr>
                  <w:r>
                    <w:rPr>
                      <w:color w:val="262626" w:themeColor="text1" w:themeTint="D9"/>
                      <w:sz w:val="18"/>
                      <w:szCs w:val="18"/>
                    </w:rPr>
                    <w:tab/>
                  </w:r>
                  <w:r w:rsidRPr="0048417D">
                    <w:rPr>
                      <w:color w:val="262626" w:themeColor="text1" w:themeTint="D9"/>
                      <w:sz w:val="18"/>
                      <w:szCs w:val="18"/>
                    </w:rPr>
                    <w:t>** parité de pouvoir d’achat</w:t>
                  </w:r>
                </w:p>
                <w:p w:rsidR="00144D6D" w:rsidRPr="0048417D" w:rsidRDefault="00144D6D" w:rsidP="000B731A">
                  <w:pPr>
                    <w:spacing w:after="0" w:line="240" w:lineRule="auto"/>
                    <w:jc w:val="left"/>
                    <w:rPr>
                      <w:color w:val="262626" w:themeColor="text1" w:themeTint="D9"/>
                      <w:sz w:val="18"/>
                      <w:szCs w:val="18"/>
                    </w:rPr>
                  </w:pPr>
                  <w:r w:rsidRPr="0048417D">
                    <w:rPr>
                      <w:color w:val="262626" w:themeColor="text1" w:themeTint="D9"/>
                      <w:sz w:val="18"/>
                      <w:szCs w:val="18"/>
                    </w:rPr>
                    <w:t>Source : OCDE (</w:t>
                  </w:r>
                  <w:proofErr w:type="spellStart"/>
                  <w:r w:rsidRPr="0048417D">
                    <w:rPr>
                      <w:color w:val="262626" w:themeColor="text1" w:themeTint="D9"/>
                      <w:sz w:val="18"/>
                      <w:szCs w:val="18"/>
                    </w:rPr>
                    <w:t>Health</w:t>
                  </w:r>
                  <w:proofErr w:type="spellEnd"/>
                  <w:r w:rsidRPr="0048417D">
                    <w:rPr>
                      <w:color w:val="262626" w:themeColor="text1" w:themeTint="D9"/>
                      <w:sz w:val="18"/>
                      <w:szCs w:val="18"/>
                    </w:rPr>
                    <w:t xml:space="preserve"> Data 2012) </w:t>
                  </w:r>
                </w:p>
                <w:p w:rsidR="00144D6D" w:rsidRPr="0048417D" w:rsidRDefault="00144D6D" w:rsidP="000B731A">
                  <w:pPr>
                    <w:jc w:val="left"/>
                    <w:rPr>
                      <w:color w:val="262626" w:themeColor="text1" w:themeTint="D9"/>
                      <w:sz w:val="18"/>
                      <w:szCs w:val="18"/>
                    </w:rPr>
                  </w:pPr>
                </w:p>
              </w:txbxContent>
            </v:textbox>
          </v:shape>
        </w:pict>
      </w:r>
    </w:p>
    <w:p w:rsidR="00946C16" w:rsidRDefault="00946C16" w:rsidP="00621120">
      <w:pPr>
        <w:pStyle w:val="Paragraphedeliste"/>
        <w:spacing w:after="0" w:line="240" w:lineRule="auto"/>
        <w:ind w:left="2835" w:right="2408"/>
        <w:contextualSpacing w:val="0"/>
        <w:jc w:val="center"/>
        <w:outlineLvl w:val="2"/>
        <w:rPr>
          <w:sz w:val="18"/>
          <w:szCs w:val="18"/>
        </w:rPr>
      </w:pPr>
    </w:p>
    <w:p w:rsidR="00946C16" w:rsidRDefault="00946C16" w:rsidP="00621120">
      <w:pPr>
        <w:pStyle w:val="Paragraphedeliste"/>
        <w:spacing w:after="0" w:line="240" w:lineRule="auto"/>
        <w:ind w:left="2835" w:right="2408"/>
        <w:contextualSpacing w:val="0"/>
        <w:jc w:val="center"/>
        <w:outlineLvl w:val="2"/>
        <w:rPr>
          <w:sz w:val="18"/>
          <w:szCs w:val="18"/>
        </w:rPr>
      </w:pPr>
    </w:p>
    <w:p w:rsidR="00946C16" w:rsidRDefault="00946C16" w:rsidP="00621120">
      <w:pPr>
        <w:pStyle w:val="Paragraphedeliste"/>
        <w:spacing w:after="0" w:line="240" w:lineRule="auto"/>
        <w:ind w:left="2835" w:right="2408"/>
        <w:contextualSpacing w:val="0"/>
        <w:jc w:val="center"/>
        <w:outlineLvl w:val="2"/>
        <w:rPr>
          <w:sz w:val="18"/>
          <w:szCs w:val="18"/>
        </w:rPr>
      </w:pPr>
    </w:p>
    <w:p w:rsidR="006C5965" w:rsidRDefault="006C5965" w:rsidP="00621120">
      <w:pPr>
        <w:pStyle w:val="Paragraphedeliste"/>
        <w:spacing w:after="0" w:line="240" w:lineRule="auto"/>
        <w:ind w:left="2835" w:right="2408"/>
        <w:contextualSpacing w:val="0"/>
        <w:jc w:val="center"/>
        <w:outlineLvl w:val="2"/>
        <w:rPr>
          <w:sz w:val="18"/>
          <w:szCs w:val="18"/>
        </w:rPr>
      </w:pPr>
    </w:p>
    <w:p w:rsidR="006C5965" w:rsidRDefault="006C5965" w:rsidP="00621120">
      <w:pPr>
        <w:pStyle w:val="Paragraphedeliste"/>
        <w:spacing w:after="0" w:line="240" w:lineRule="auto"/>
        <w:ind w:left="2835" w:right="2408"/>
        <w:contextualSpacing w:val="0"/>
        <w:jc w:val="center"/>
        <w:outlineLvl w:val="2"/>
        <w:rPr>
          <w:sz w:val="18"/>
          <w:szCs w:val="18"/>
        </w:rPr>
      </w:pPr>
    </w:p>
    <w:p w:rsidR="000B731A" w:rsidRDefault="000B731A" w:rsidP="00621120">
      <w:pPr>
        <w:pStyle w:val="Paragraphedeliste"/>
        <w:spacing w:after="0" w:line="240" w:lineRule="auto"/>
        <w:ind w:left="2835" w:right="2408"/>
        <w:contextualSpacing w:val="0"/>
        <w:jc w:val="center"/>
        <w:outlineLvl w:val="2"/>
        <w:rPr>
          <w:sz w:val="18"/>
          <w:szCs w:val="18"/>
        </w:rPr>
      </w:pPr>
    </w:p>
    <w:p w:rsidR="000B731A" w:rsidRDefault="000B731A" w:rsidP="00621120">
      <w:pPr>
        <w:pStyle w:val="Paragraphedeliste"/>
        <w:spacing w:after="0" w:line="240" w:lineRule="auto"/>
        <w:ind w:left="2835" w:right="2408"/>
        <w:contextualSpacing w:val="0"/>
        <w:jc w:val="center"/>
        <w:outlineLvl w:val="2"/>
        <w:rPr>
          <w:sz w:val="18"/>
          <w:szCs w:val="18"/>
        </w:rPr>
      </w:pPr>
    </w:p>
    <w:p w:rsidR="000B731A" w:rsidRDefault="000B731A" w:rsidP="00621120">
      <w:pPr>
        <w:pStyle w:val="Paragraphedeliste"/>
        <w:spacing w:after="0" w:line="240" w:lineRule="auto"/>
        <w:ind w:left="2835" w:right="2408"/>
        <w:contextualSpacing w:val="0"/>
        <w:jc w:val="center"/>
        <w:outlineLvl w:val="2"/>
        <w:rPr>
          <w:sz w:val="18"/>
          <w:szCs w:val="18"/>
        </w:rPr>
      </w:pPr>
    </w:p>
    <w:p w:rsidR="000B731A" w:rsidRDefault="000B731A" w:rsidP="00621120">
      <w:pPr>
        <w:pStyle w:val="Paragraphedeliste"/>
        <w:spacing w:after="0" w:line="240" w:lineRule="auto"/>
        <w:ind w:left="2835" w:right="2408"/>
        <w:contextualSpacing w:val="0"/>
        <w:jc w:val="center"/>
        <w:outlineLvl w:val="2"/>
        <w:rPr>
          <w:sz w:val="18"/>
          <w:szCs w:val="18"/>
        </w:rPr>
      </w:pPr>
    </w:p>
    <w:p w:rsidR="000B731A" w:rsidRDefault="000B731A" w:rsidP="00621120">
      <w:pPr>
        <w:pStyle w:val="Paragraphedeliste"/>
        <w:spacing w:after="0" w:line="240" w:lineRule="auto"/>
        <w:ind w:left="2835" w:right="2408"/>
        <w:contextualSpacing w:val="0"/>
        <w:jc w:val="center"/>
        <w:outlineLvl w:val="2"/>
        <w:rPr>
          <w:sz w:val="18"/>
          <w:szCs w:val="18"/>
        </w:rPr>
      </w:pPr>
    </w:p>
    <w:p w:rsidR="000B731A" w:rsidRDefault="000B731A" w:rsidP="00621120">
      <w:pPr>
        <w:pStyle w:val="Paragraphedeliste"/>
        <w:spacing w:after="0" w:line="240" w:lineRule="auto"/>
        <w:ind w:left="2835" w:right="2408"/>
        <w:contextualSpacing w:val="0"/>
        <w:jc w:val="center"/>
        <w:outlineLvl w:val="2"/>
        <w:rPr>
          <w:sz w:val="18"/>
          <w:szCs w:val="18"/>
        </w:rPr>
      </w:pPr>
    </w:p>
    <w:p w:rsidR="000B731A" w:rsidRDefault="000B731A" w:rsidP="00621120">
      <w:pPr>
        <w:pStyle w:val="Paragraphedeliste"/>
        <w:spacing w:after="0" w:line="240" w:lineRule="auto"/>
        <w:ind w:left="2835" w:right="2408"/>
        <w:contextualSpacing w:val="0"/>
        <w:jc w:val="center"/>
        <w:outlineLvl w:val="2"/>
        <w:rPr>
          <w:sz w:val="18"/>
          <w:szCs w:val="18"/>
        </w:rPr>
      </w:pPr>
    </w:p>
    <w:p w:rsidR="000B731A" w:rsidRDefault="000B731A" w:rsidP="00621120">
      <w:pPr>
        <w:pStyle w:val="Paragraphedeliste"/>
        <w:spacing w:after="0" w:line="240" w:lineRule="auto"/>
        <w:ind w:left="2835" w:right="2408"/>
        <w:contextualSpacing w:val="0"/>
        <w:jc w:val="center"/>
        <w:outlineLvl w:val="2"/>
        <w:rPr>
          <w:sz w:val="18"/>
          <w:szCs w:val="18"/>
        </w:rPr>
      </w:pPr>
    </w:p>
    <w:p w:rsidR="000B731A" w:rsidRDefault="000B731A" w:rsidP="00621120">
      <w:pPr>
        <w:pStyle w:val="Paragraphedeliste"/>
        <w:spacing w:after="0" w:line="240" w:lineRule="auto"/>
        <w:ind w:left="2835" w:right="2408"/>
        <w:contextualSpacing w:val="0"/>
        <w:jc w:val="center"/>
        <w:outlineLvl w:val="2"/>
        <w:rPr>
          <w:sz w:val="18"/>
          <w:szCs w:val="18"/>
        </w:rPr>
      </w:pPr>
    </w:p>
    <w:p w:rsidR="000B731A" w:rsidRDefault="000B731A" w:rsidP="00621120">
      <w:pPr>
        <w:pStyle w:val="Paragraphedeliste"/>
        <w:spacing w:after="0" w:line="240" w:lineRule="auto"/>
        <w:ind w:left="2835" w:right="2408"/>
        <w:contextualSpacing w:val="0"/>
        <w:jc w:val="center"/>
        <w:outlineLvl w:val="2"/>
        <w:rPr>
          <w:sz w:val="18"/>
          <w:szCs w:val="18"/>
        </w:rPr>
      </w:pPr>
    </w:p>
    <w:p w:rsidR="000B731A" w:rsidRDefault="000B731A" w:rsidP="00621120">
      <w:pPr>
        <w:pStyle w:val="Paragraphedeliste"/>
        <w:spacing w:after="0" w:line="240" w:lineRule="auto"/>
        <w:ind w:left="2835" w:right="2408"/>
        <w:contextualSpacing w:val="0"/>
        <w:jc w:val="center"/>
        <w:outlineLvl w:val="2"/>
        <w:rPr>
          <w:sz w:val="18"/>
          <w:szCs w:val="18"/>
        </w:rPr>
      </w:pPr>
    </w:p>
    <w:p w:rsidR="000B731A" w:rsidRDefault="000B731A" w:rsidP="00621120">
      <w:pPr>
        <w:pStyle w:val="Paragraphedeliste"/>
        <w:spacing w:after="0" w:line="240" w:lineRule="auto"/>
        <w:ind w:left="2835" w:right="2408"/>
        <w:contextualSpacing w:val="0"/>
        <w:jc w:val="center"/>
        <w:outlineLvl w:val="2"/>
        <w:rPr>
          <w:sz w:val="18"/>
          <w:szCs w:val="18"/>
        </w:rPr>
      </w:pPr>
    </w:p>
    <w:p w:rsidR="000B731A" w:rsidRDefault="000B731A" w:rsidP="00621120">
      <w:pPr>
        <w:pStyle w:val="Paragraphedeliste"/>
        <w:spacing w:after="0" w:line="240" w:lineRule="auto"/>
        <w:ind w:left="2835" w:right="2408"/>
        <w:contextualSpacing w:val="0"/>
        <w:jc w:val="center"/>
        <w:outlineLvl w:val="2"/>
        <w:rPr>
          <w:sz w:val="18"/>
          <w:szCs w:val="18"/>
        </w:rPr>
      </w:pPr>
    </w:p>
    <w:p w:rsidR="000B731A" w:rsidRDefault="000B731A" w:rsidP="00621120">
      <w:pPr>
        <w:pStyle w:val="Paragraphedeliste"/>
        <w:spacing w:after="0" w:line="240" w:lineRule="auto"/>
        <w:ind w:left="2835" w:right="2408"/>
        <w:contextualSpacing w:val="0"/>
        <w:jc w:val="center"/>
        <w:outlineLvl w:val="2"/>
        <w:rPr>
          <w:sz w:val="18"/>
          <w:szCs w:val="18"/>
        </w:rPr>
      </w:pPr>
    </w:p>
    <w:p w:rsidR="006C5965" w:rsidRDefault="006C5965" w:rsidP="00621120">
      <w:pPr>
        <w:pStyle w:val="Paragraphedeliste"/>
        <w:spacing w:after="0" w:line="240" w:lineRule="auto"/>
        <w:ind w:left="2835" w:right="2408"/>
        <w:contextualSpacing w:val="0"/>
        <w:jc w:val="center"/>
        <w:outlineLvl w:val="2"/>
        <w:rPr>
          <w:sz w:val="18"/>
          <w:szCs w:val="18"/>
        </w:rPr>
      </w:pPr>
    </w:p>
    <w:p w:rsidR="006C5965" w:rsidRPr="001F3A67" w:rsidRDefault="006C5965" w:rsidP="00621120">
      <w:pPr>
        <w:pStyle w:val="Paragraphedeliste"/>
        <w:spacing w:after="0" w:line="240" w:lineRule="auto"/>
        <w:ind w:left="2835" w:right="2408"/>
        <w:contextualSpacing w:val="0"/>
        <w:jc w:val="center"/>
        <w:outlineLvl w:val="2"/>
        <w:rPr>
          <w:sz w:val="18"/>
          <w:szCs w:val="18"/>
        </w:rPr>
      </w:pPr>
    </w:p>
    <w:p w:rsidR="00621120" w:rsidRPr="000B731A" w:rsidRDefault="00621120" w:rsidP="00621120">
      <w:pPr>
        <w:pStyle w:val="Titre3"/>
        <w:keepNext w:val="0"/>
        <w:keepLines w:val="0"/>
        <w:numPr>
          <w:ilvl w:val="2"/>
          <w:numId w:val="0"/>
        </w:numPr>
        <w:spacing w:before="0" w:after="120"/>
        <w:rPr>
          <w:rFonts w:asciiTheme="minorHAnsi" w:hAnsiTheme="minorHAnsi"/>
          <w:color w:val="0D0D0D" w:themeColor="text1" w:themeTint="F2"/>
          <w:szCs w:val="21"/>
        </w:rPr>
      </w:pPr>
      <w:r w:rsidRPr="000B731A">
        <w:rPr>
          <w:rFonts w:asciiTheme="minorHAnsi" w:hAnsiTheme="minorHAnsi"/>
          <w:color w:val="0D0D0D" w:themeColor="text1" w:themeTint="F2"/>
          <w:szCs w:val="21"/>
        </w:rPr>
        <w:t>Les causes de l’augmentation des dépenses de santé sont exogènes</w:t>
      </w:r>
    </w:p>
    <w:p w:rsidR="00621120" w:rsidRDefault="00621120" w:rsidP="00304315">
      <w:pPr>
        <w:pStyle w:val="Textedebase"/>
        <w:spacing w:after="0"/>
        <w:ind w:left="0"/>
      </w:pPr>
      <w:r w:rsidRPr="00FA6EF4">
        <w:t>Quatre facteurs structurels majeurs expliquent l’augmentation des dépenses de santé :</w:t>
      </w:r>
    </w:p>
    <w:p w:rsidR="00304315" w:rsidRDefault="00304315" w:rsidP="00C020D6">
      <w:pPr>
        <w:pStyle w:val="Textedebase"/>
        <w:numPr>
          <w:ilvl w:val="0"/>
          <w:numId w:val="23"/>
        </w:numPr>
        <w:spacing w:after="0"/>
      </w:pPr>
      <w:r>
        <w:t>La hausse du niveau de vie ;</w:t>
      </w:r>
    </w:p>
    <w:p w:rsidR="00304315" w:rsidRDefault="00304315" w:rsidP="00C020D6">
      <w:pPr>
        <w:pStyle w:val="Textedebase"/>
        <w:numPr>
          <w:ilvl w:val="0"/>
          <w:numId w:val="23"/>
        </w:numPr>
        <w:spacing w:after="0"/>
      </w:pPr>
      <w:r>
        <w:t>La diffusion du progrès technique médical ;</w:t>
      </w:r>
    </w:p>
    <w:p w:rsidR="00304315" w:rsidRDefault="00304315" w:rsidP="00C020D6">
      <w:pPr>
        <w:pStyle w:val="Textedebase"/>
        <w:numPr>
          <w:ilvl w:val="0"/>
          <w:numId w:val="23"/>
        </w:numPr>
        <w:spacing w:after="0"/>
      </w:pPr>
      <w:r>
        <w:t>Le vieillissement de la population ;</w:t>
      </w:r>
    </w:p>
    <w:p w:rsidR="00304315" w:rsidRDefault="00304315" w:rsidP="00C020D6">
      <w:pPr>
        <w:pStyle w:val="Textedebase"/>
        <w:numPr>
          <w:ilvl w:val="0"/>
          <w:numId w:val="23"/>
        </w:numPr>
        <w:spacing w:after="0"/>
      </w:pPr>
      <w:r>
        <w:t>L’émergence de maladies dites « industrielles ».</w:t>
      </w:r>
    </w:p>
    <w:p w:rsidR="00304315" w:rsidRPr="00FA6EF4" w:rsidRDefault="00304315" w:rsidP="00304315">
      <w:pPr>
        <w:pStyle w:val="Textedebase"/>
        <w:spacing w:after="0"/>
        <w:ind w:left="720"/>
      </w:pPr>
    </w:p>
    <w:p w:rsidR="00304315" w:rsidRDefault="00304315" w:rsidP="00304315">
      <w:pPr>
        <w:pStyle w:val="Textedebase"/>
        <w:ind w:left="0"/>
        <w:rPr>
          <w:b/>
          <w:bCs/>
          <w:color w:val="0D0D0D" w:themeColor="text1" w:themeTint="F2"/>
          <w:szCs w:val="20"/>
        </w:rPr>
        <w:sectPr w:rsidR="00304315" w:rsidSect="00415E08">
          <w:type w:val="continuous"/>
          <w:pgSz w:w="11906" w:h="16838"/>
          <w:pgMar w:top="1928" w:right="1418" w:bottom="1135" w:left="993" w:header="709" w:footer="709" w:gutter="0"/>
          <w:cols w:space="708"/>
          <w:docGrid w:linePitch="360"/>
        </w:sectPr>
      </w:pPr>
      <w:bookmarkStart w:id="4" w:name="_Toc327450707"/>
    </w:p>
    <w:p w:rsidR="000B731A" w:rsidRPr="00FA6EF4" w:rsidRDefault="00621120" w:rsidP="00C020D6">
      <w:pPr>
        <w:pStyle w:val="Textedebase"/>
        <w:numPr>
          <w:ilvl w:val="0"/>
          <w:numId w:val="1"/>
        </w:numPr>
        <w:ind w:left="426" w:hanging="426"/>
        <w:rPr>
          <w:sz w:val="21"/>
        </w:rPr>
      </w:pPr>
      <w:r w:rsidRPr="00FA6EF4">
        <w:rPr>
          <w:b/>
          <w:bCs/>
          <w:sz w:val="21"/>
        </w:rPr>
        <w:lastRenderedPageBreak/>
        <w:t>La hausse du niveau de vie</w:t>
      </w:r>
      <w:r w:rsidR="000B731A" w:rsidRPr="00FA6EF4">
        <w:rPr>
          <w:b/>
          <w:bCs/>
          <w:sz w:val="21"/>
        </w:rPr>
        <w:t> </w:t>
      </w:r>
    </w:p>
    <w:p w:rsidR="00621120" w:rsidRPr="00FA6EF4" w:rsidRDefault="000B731A" w:rsidP="000B731A">
      <w:pPr>
        <w:pStyle w:val="Textedebase"/>
        <w:ind w:left="426"/>
        <w:jc w:val="left"/>
        <w:rPr>
          <w:szCs w:val="20"/>
        </w:rPr>
      </w:pPr>
      <w:r w:rsidRPr="00FA6EF4">
        <w:rPr>
          <w:bCs/>
          <w:szCs w:val="20"/>
        </w:rPr>
        <w:t>Il</w:t>
      </w:r>
      <w:r w:rsidR="00621120" w:rsidRPr="00FA6EF4">
        <w:rPr>
          <w:bCs/>
          <w:szCs w:val="20"/>
        </w:rPr>
        <w:t xml:space="preserve"> existe une relation croissante entre le niveau de vie de la population et sa demande de soins. De manière générale, plus un individu est riche et éduqué, plus il se soucie de son état de santé actuel et futur et est demandeur de soins. En ce sens, </w:t>
      </w:r>
      <w:r w:rsidR="00621120" w:rsidRPr="00FA6EF4">
        <w:rPr>
          <w:szCs w:val="20"/>
        </w:rPr>
        <w:t>la santé est un « bien supérieur » : son poids dans le budget des ménages s’accroît avec leur niveau de vie</w:t>
      </w:r>
      <w:bookmarkEnd w:id="4"/>
      <w:r w:rsidRPr="00FA6EF4">
        <w:rPr>
          <w:szCs w:val="20"/>
        </w:rPr>
        <w:t>.</w:t>
      </w:r>
    </w:p>
    <w:p w:rsidR="000B731A" w:rsidRDefault="000B731A" w:rsidP="000B731A">
      <w:pPr>
        <w:pStyle w:val="Textedebase"/>
        <w:rPr>
          <w:color w:val="0D0D0D" w:themeColor="text1" w:themeTint="F2"/>
          <w:szCs w:val="20"/>
        </w:rPr>
      </w:pPr>
    </w:p>
    <w:p w:rsidR="000B731A" w:rsidRDefault="000B731A" w:rsidP="00706EB8">
      <w:pPr>
        <w:pStyle w:val="Textedebase"/>
        <w:ind w:left="0"/>
        <w:rPr>
          <w:color w:val="0D0D0D" w:themeColor="text1" w:themeTint="F2"/>
          <w:szCs w:val="20"/>
        </w:rPr>
      </w:pPr>
    </w:p>
    <w:p w:rsidR="00702772" w:rsidRPr="006C5965" w:rsidRDefault="00702772" w:rsidP="00706EB8">
      <w:pPr>
        <w:pStyle w:val="Textedebase"/>
        <w:ind w:left="0"/>
        <w:rPr>
          <w:color w:val="0D0D0D" w:themeColor="text1" w:themeTint="F2"/>
          <w:szCs w:val="20"/>
        </w:rPr>
      </w:pPr>
    </w:p>
    <w:p w:rsidR="000B731A" w:rsidRPr="00FA6EF4" w:rsidRDefault="00621120" w:rsidP="00C020D6">
      <w:pPr>
        <w:pStyle w:val="Textedebase"/>
        <w:numPr>
          <w:ilvl w:val="0"/>
          <w:numId w:val="1"/>
        </w:numPr>
        <w:ind w:left="426" w:hanging="426"/>
        <w:jc w:val="left"/>
        <w:rPr>
          <w:sz w:val="21"/>
        </w:rPr>
      </w:pPr>
      <w:bookmarkStart w:id="5" w:name="_Toc327450708"/>
      <w:r w:rsidRPr="00FA6EF4">
        <w:rPr>
          <w:b/>
          <w:bCs/>
          <w:sz w:val="21"/>
        </w:rPr>
        <w:lastRenderedPageBreak/>
        <w:t>La diffusion du progrès technique médical</w:t>
      </w:r>
      <w:r w:rsidRPr="00FA6EF4">
        <w:rPr>
          <w:sz w:val="21"/>
        </w:rPr>
        <w:t xml:space="preserve"> </w:t>
      </w:r>
    </w:p>
    <w:p w:rsidR="000B731A" w:rsidRPr="00FA6EF4" w:rsidRDefault="00084492" w:rsidP="000B731A">
      <w:pPr>
        <w:pStyle w:val="Textedebase"/>
        <w:ind w:left="426"/>
        <w:jc w:val="left"/>
        <w:rPr>
          <w:szCs w:val="20"/>
        </w:rPr>
        <w:sectPr w:rsidR="000B731A" w:rsidRPr="00FA6EF4" w:rsidSect="000B731A">
          <w:type w:val="continuous"/>
          <w:pgSz w:w="11906" w:h="16838"/>
          <w:pgMar w:top="1928" w:right="1418" w:bottom="1135" w:left="993" w:header="709" w:footer="709" w:gutter="0"/>
          <w:cols w:num="2" w:space="708"/>
          <w:docGrid w:linePitch="360"/>
        </w:sectPr>
      </w:pPr>
      <w:r>
        <w:rPr>
          <w:szCs w:val="20"/>
        </w:rPr>
        <w:t>L</w:t>
      </w:r>
      <w:r w:rsidR="00621120" w:rsidRPr="00FA6EF4">
        <w:rPr>
          <w:szCs w:val="20"/>
        </w:rPr>
        <w:t xml:space="preserve">es innovations technologiques améliorent </w:t>
      </w:r>
      <w:r>
        <w:rPr>
          <w:szCs w:val="20"/>
        </w:rPr>
        <w:t>l’efficacité des soins et peuvent ainsi permettre de réaliser des économies en abaissant les coûts unitaires de certains soins et/ou en soignant plus rapidement les patients.</w:t>
      </w:r>
      <w:r w:rsidR="00621120" w:rsidRPr="00FA6EF4">
        <w:rPr>
          <w:szCs w:val="20"/>
        </w:rPr>
        <w:t xml:space="preserve"> </w:t>
      </w:r>
      <w:r>
        <w:rPr>
          <w:szCs w:val="20"/>
        </w:rPr>
        <w:t>Toutefois, les innovations médicales sont souvent coûteuses et leur</w:t>
      </w:r>
      <w:r w:rsidR="00621120" w:rsidRPr="00FA6EF4">
        <w:rPr>
          <w:szCs w:val="20"/>
        </w:rPr>
        <w:t xml:space="preserve"> diffusion génère des dépenses supplémentaires (achats de nouveaux équipements, formation du personn</w:t>
      </w:r>
      <w:r>
        <w:rPr>
          <w:szCs w:val="20"/>
        </w:rPr>
        <w:t>el, temps d’adaptation, nécessité d’adapter l’organisation des soins…</w:t>
      </w:r>
      <w:r w:rsidR="00621120" w:rsidRPr="00FA6EF4">
        <w:rPr>
          <w:szCs w:val="20"/>
        </w:rPr>
        <w:t>). En outre, l’efficacité de ces techniques coûteuses contribue à augmenter le nombre de patients qui en bénéficient</w:t>
      </w:r>
      <w:bookmarkStart w:id="6" w:name="_Toc327450709"/>
      <w:bookmarkEnd w:id="5"/>
      <w:r w:rsidR="0094559F">
        <w:rPr>
          <w:szCs w:val="20"/>
        </w:rPr>
        <w:t>.</w:t>
      </w:r>
    </w:p>
    <w:p w:rsidR="000B731A" w:rsidRDefault="000B731A" w:rsidP="000B731A">
      <w:pPr>
        <w:pStyle w:val="Textedebase"/>
        <w:ind w:left="0"/>
        <w:rPr>
          <w:b/>
          <w:bCs/>
          <w:color w:val="0D0D0D" w:themeColor="text1" w:themeTint="F2"/>
          <w:szCs w:val="20"/>
        </w:rPr>
      </w:pPr>
    </w:p>
    <w:p w:rsidR="00D607B8" w:rsidRDefault="00F86138" w:rsidP="000B731A">
      <w:pPr>
        <w:pStyle w:val="Textedebase"/>
        <w:ind w:left="0"/>
        <w:rPr>
          <w:b/>
          <w:bCs/>
          <w:color w:val="0D0D0D" w:themeColor="text1" w:themeTint="F2"/>
          <w:szCs w:val="20"/>
        </w:rPr>
      </w:pPr>
      <w:r>
        <w:rPr>
          <w:b/>
          <w:bCs/>
          <w:noProof/>
          <w:color w:val="0D0D0D" w:themeColor="text1" w:themeTint="F2"/>
          <w:szCs w:val="20"/>
          <w:lang w:eastAsia="fr-FR"/>
        </w:rPr>
        <w:pict>
          <v:shape id="_x0000_s1106" type="#_x0000_t202" style="position:absolute;left:0;text-align:left;margin-left:263.5pt;margin-top:2.05pt;width:263.65pt;height:42.65pt;z-index:251754496;mso-width-relative:margin;mso-height-relative:margin" filled="f" stroked="f">
            <v:textbox style="mso-next-textbox:#_x0000_s1106">
              <w:txbxContent>
                <w:p w:rsidR="00144D6D" w:rsidRDefault="00144D6D" w:rsidP="00E84C70">
                  <w:pPr>
                    <w:tabs>
                      <w:tab w:val="left" w:pos="993"/>
                    </w:tabs>
                    <w:spacing w:after="0" w:line="240" w:lineRule="auto"/>
                    <w:ind w:left="990" w:hanging="990"/>
                    <w:jc w:val="left"/>
                    <w:rPr>
                      <w:b/>
                      <w:color w:val="262626" w:themeColor="text1" w:themeTint="D9"/>
                      <w:sz w:val="20"/>
                      <w:szCs w:val="20"/>
                    </w:rPr>
                  </w:pPr>
                  <w:r>
                    <w:rPr>
                      <w:color w:val="7A003C"/>
                      <w:sz w:val="18"/>
                      <w:szCs w:val="18"/>
                    </w:rPr>
                    <w:t>Graph 11</w:t>
                  </w:r>
                  <w:r w:rsidRPr="00987897">
                    <w:rPr>
                      <w:color w:val="7A003C"/>
                      <w:sz w:val="18"/>
                      <w:szCs w:val="18"/>
                    </w:rPr>
                    <w:t>.</w:t>
                  </w:r>
                  <w:r>
                    <w:rPr>
                      <w:color w:val="7A003C"/>
                      <w:sz w:val="18"/>
                      <w:szCs w:val="18"/>
                    </w:rPr>
                    <w:tab/>
                  </w:r>
                  <w:r>
                    <w:rPr>
                      <w:b/>
                      <w:color w:val="262626" w:themeColor="text1" w:themeTint="D9"/>
                      <w:sz w:val="20"/>
                      <w:szCs w:val="20"/>
                    </w:rPr>
                    <w:t>Diffusion de la technologie de l’imagerie par résonance magnétique (IRM)</w:t>
                  </w:r>
                </w:p>
                <w:p w:rsidR="00144D6D" w:rsidRPr="00116F08" w:rsidRDefault="00144D6D" w:rsidP="00E84C70">
                  <w:pPr>
                    <w:tabs>
                      <w:tab w:val="left" w:pos="993"/>
                    </w:tabs>
                    <w:spacing w:after="0" w:line="240" w:lineRule="auto"/>
                    <w:ind w:left="990" w:hanging="990"/>
                    <w:jc w:val="left"/>
                    <w:rPr>
                      <w:i/>
                      <w:color w:val="7A003C"/>
                      <w:sz w:val="18"/>
                      <w:szCs w:val="18"/>
                    </w:rPr>
                  </w:pPr>
                  <w:r w:rsidRPr="00116F08">
                    <w:rPr>
                      <w:i/>
                      <w:color w:val="262626" w:themeColor="text1" w:themeTint="D9"/>
                      <w:sz w:val="18"/>
                      <w:szCs w:val="18"/>
                    </w:rPr>
                    <w:tab/>
                  </w:r>
                  <w:r>
                    <w:rPr>
                      <w:i/>
                      <w:color w:val="262626" w:themeColor="text1" w:themeTint="D9"/>
                      <w:sz w:val="18"/>
                      <w:szCs w:val="18"/>
                    </w:rPr>
                    <w:t>Nombre de diagnostics par IRM pour 1000 habitants</w:t>
                  </w:r>
                </w:p>
                <w:p w:rsidR="00144D6D" w:rsidRPr="00987897" w:rsidRDefault="00144D6D" w:rsidP="00E84C70">
                  <w:pPr>
                    <w:rPr>
                      <w:color w:val="7A003C"/>
                      <w:sz w:val="18"/>
                      <w:szCs w:val="18"/>
                    </w:rPr>
                  </w:pPr>
                </w:p>
              </w:txbxContent>
            </v:textbox>
          </v:shape>
        </w:pict>
      </w:r>
      <w:r>
        <w:rPr>
          <w:b/>
          <w:bCs/>
          <w:noProof/>
          <w:color w:val="0D0D0D" w:themeColor="text1" w:themeTint="F2"/>
          <w:szCs w:val="20"/>
          <w:lang w:eastAsia="fr-FR"/>
        </w:rPr>
        <w:pict>
          <v:shape id="_x0000_s1104" type="#_x0000_t202" style="position:absolute;left:0;text-align:left;margin-left:-19.25pt;margin-top:3.3pt;width:253.05pt;height:42.65pt;z-index:251750400;mso-width-relative:margin;mso-height-relative:margin" filled="f" stroked="f">
            <v:textbox style="mso-next-textbox:#_x0000_s1104">
              <w:txbxContent>
                <w:p w:rsidR="00144D6D" w:rsidRDefault="00144D6D" w:rsidP="00116F08">
                  <w:pPr>
                    <w:tabs>
                      <w:tab w:val="left" w:pos="993"/>
                    </w:tabs>
                    <w:spacing w:after="0" w:line="240" w:lineRule="auto"/>
                    <w:ind w:left="990" w:hanging="990"/>
                    <w:jc w:val="left"/>
                    <w:rPr>
                      <w:b/>
                      <w:color w:val="262626" w:themeColor="text1" w:themeTint="D9"/>
                      <w:sz w:val="20"/>
                      <w:szCs w:val="20"/>
                    </w:rPr>
                  </w:pPr>
                  <w:r>
                    <w:rPr>
                      <w:color w:val="7A003C"/>
                      <w:sz w:val="18"/>
                      <w:szCs w:val="18"/>
                    </w:rPr>
                    <w:t>Graph 10</w:t>
                  </w:r>
                  <w:r w:rsidRPr="00987897">
                    <w:rPr>
                      <w:color w:val="7A003C"/>
                      <w:sz w:val="18"/>
                      <w:szCs w:val="18"/>
                    </w:rPr>
                    <w:t>.</w:t>
                  </w:r>
                  <w:r>
                    <w:rPr>
                      <w:color w:val="7A003C"/>
                      <w:sz w:val="18"/>
                      <w:szCs w:val="18"/>
                    </w:rPr>
                    <w:tab/>
                  </w:r>
                  <w:r>
                    <w:rPr>
                      <w:b/>
                      <w:color w:val="262626" w:themeColor="text1" w:themeTint="D9"/>
                      <w:sz w:val="20"/>
                      <w:szCs w:val="20"/>
                    </w:rPr>
                    <w:t>Poids des dépenses de santé dans le revenu en fonction du niveau de revenu</w:t>
                  </w:r>
                </w:p>
                <w:p w:rsidR="00144D6D" w:rsidRPr="00116F08" w:rsidRDefault="00144D6D" w:rsidP="00116F08">
                  <w:pPr>
                    <w:tabs>
                      <w:tab w:val="left" w:pos="993"/>
                    </w:tabs>
                    <w:spacing w:after="0" w:line="240" w:lineRule="auto"/>
                    <w:ind w:left="990" w:hanging="990"/>
                    <w:jc w:val="left"/>
                    <w:rPr>
                      <w:i/>
                      <w:color w:val="7A003C"/>
                      <w:sz w:val="18"/>
                      <w:szCs w:val="18"/>
                    </w:rPr>
                  </w:pPr>
                  <w:r w:rsidRPr="00116F08">
                    <w:rPr>
                      <w:i/>
                      <w:color w:val="262626" w:themeColor="text1" w:themeTint="D9"/>
                      <w:sz w:val="18"/>
                      <w:szCs w:val="18"/>
                    </w:rPr>
                    <w:tab/>
                    <w:t>En 200</w:t>
                  </w:r>
                  <w:r>
                    <w:rPr>
                      <w:i/>
                      <w:color w:val="262626" w:themeColor="text1" w:themeTint="D9"/>
                      <w:sz w:val="18"/>
                      <w:szCs w:val="18"/>
                    </w:rPr>
                    <w:t>9, dans les pays de l’OCDE</w:t>
                  </w:r>
                </w:p>
                <w:p w:rsidR="00144D6D" w:rsidRPr="00987897" w:rsidRDefault="00144D6D" w:rsidP="00116F08">
                  <w:pPr>
                    <w:rPr>
                      <w:color w:val="7A003C"/>
                      <w:sz w:val="18"/>
                      <w:szCs w:val="18"/>
                    </w:rPr>
                  </w:pPr>
                </w:p>
              </w:txbxContent>
            </v:textbox>
          </v:shape>
        </w:pict>
      </w:r>
    </w:p>
    <w:p w:rsidR="00D607B8" w:rsidRDefault="00084492" w:rsidP="000B731A">
      <w:pPr>
        <w:pStyle w:val="Textedebase"/>
        <w:ind w:left="0"/>
        <w:rPr>
          <w:b/>
          <w:bCs/>
          <w:color w:val="0D0D0D" w:themeColor="text1" w:themeTint="F2"/>
          <w:szCs w:val="20"/>
        </w:rPr>
      </w:pPr>
      <w:r>
        <w:rPr>
          <w:b/>
          <w:bCs/>
          <w:noProof/>
          <w:color w:val="0D0D0D" w:themeColor="text1" w:themeTint="F2"/>
          <w:szCs w:val="20"/>
          <w:lang w:eastAsia="fr-FR"/>
        </w:rPr>
        <w:drawing>
          <wp:anchor distT="0" distB="0" distL="114300" distR="114300" simplePos="0" relativeHeight="251753472" behindDoc="0" locked="0" layoutInCell="1" allowOverlap="1">
            <wp:simplePos x="0" y="0"/>
            <wp:positionH relativeFrom="column">
              <wp:posOffset>3408045</wp:posOffset>
            </wp:positionH>
            <wp:positionV relativeFrom="paragraph">
              <wp:posOffset>256540</wp:posOffset>
            </wp:positionV>
            <wp:extent cx="3248025" cy="2362200"/>
            <wp:effectExtent l="0" t="0" r="0" b="0"/>
            <wp:wrapNone/>
            <wp:docPr id="23"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D607B8" w:rsidRDefault="008613C1" w:rsidP="000B731A">
      <w:pPr>
        <w:pStyle w:val="Textedebase"/>
        <w:ind w:left="0"/>
        <w:rPr>
          <w:b/>
          <w:bCs/>
          <w:color w:val="0D0D0D" w:themeColor="text1" w:themeTint="F2"/>
          <w:szCs w:val="20"/>
        </w:rPr>
      </w:pPr>
      <w:r w:rsidRPr="008613C1">
        <w:rPr>
          <w:b/>
          <w:bCs/>
          <w:noProof/>
          <w:color w:val="0D0D0D" w:themeColor="text1" w:themeTint="F2"/>
          <w:szCs w:val="20"/>
          <w:lang w:eastAsia="fr-FR"/>
        </w:rPr>
        <w:drawing>
          <wp:anchor distT="0" distB="0" distL="114300" distR="114300" simplePos="0" relativeHeight="251763712" behindDoc="0" locked="0" layoutInCell="1" allowOverlap="1">
            <wp:simplePos x="0" y="0"/>
            <wp:positionH relativeFrom="column">
              <wp:posOffset>-240030</wp:posOffset>
            </wp:positionH>
            <wp:positionV relativeFrom="paragraph">
              <wp:posOffset>2540</wp:posOffset>
            </wp:positionV>
            <wp:extent cx="3476625" cy="2362200"/>
            <wp:effectExtent l="0" t="0" r="0" b="0"/>
            <wp:wrapNone/>
            <wp:docPr id="6"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D607B8" w:rsidRDefault="00D607B8" w:rsidP="000B731A">
      <w:pPr>
        <w:pStyle w:val="Textedebase"/>
        <w:ind w:left="0"/>
        <w:rPr>
          <w:b/>
          <w:bCs/>
          <w:color w:val="0D0D0D" w:themeColor="text1" w:themeTint="F2"/>
          <w:szCs w:val="20"/>
        </w:rPr>
      </w:pPr>
    </w:p>
    <w:p w:rsidR="00D607B8" w:rsidRDefault="00D607B8" w:rsidP="000B731A">
      <w:pPr>
        <w:pStyle w:val="Textedebase"/>
        <w:ind w:left="0"/>
        <w:rPr>
          <w:b/>
          <w:bCs/>
          <w:color w:val="0D0D0D" w:themeColor="text1" w:themeTint="F2"/>
          <w:szCs w:val="20"/>
        </w:rPr>
      </w:pPr>
    </w:p>
    <w:p w:rsidR="00D607B8" w:rsidRDefault="00D607B8" w:rsidP="000B731A">
      <w:pPr>
        <w:pStyle w:val="Textedebase"/>
        <w:ind w:left="0"/>
        <w:rPr>
          <w:b/>
          <w:bCs/>
          <w:color w:val="0D0D0D" w:themeColor="text1" w:themeTint="F2"/>
          <w:szCs w:val="20"/>
        </w:rPr>
      </w:pPr>
    </w:p>
    <w:p w:rsidR="00D607B8" w:rsidRDefault="00D607B8" w:rsidP="000B731A">
      <w:pPr>
        <w:pStyle w:val="Textedebase"/>
        <w:ind w:left="0"/>
        <w:rPr>
          <w:b/>
          <w:bCs/>
          <w:color w:val="0D0D0D" w:themeColor="text1" w:themeTint="F2"/>
          <w:szCs w:val="20"/>
        </w:rPr>
      </w:pPr>
    </w:p>
    <w:p w:rsidR="00D607B8" w:rsidRDefault="00D607B8" w:rsidP="000B731A">
      <w:pPr>
        <w:pStyle w:val="Textedebase"/>
        <w:ind w:left="0"/>
        <w:rPr>
          <w:b/>
          <w:bCs/>
          <w:color w:val="0D0D0D" w:themeColor="text1" w:themeTint="F2"/>
          <w:szCs w:val="20"/>
        </w:rPr>
      </w:pPr>
    </w:p>
    <w:p w:rsidR="00D607B8" w:rsidRDefault="00D607B8" w:rsidP="000B731A">
      <w:pPr>
        <w:pStyle w:val="Textedebase"/>
        <w:ind w:left="0"/>
        <w:rPr>
          <w:b/>
          <w:bCs/>
          <w:color w:val="0D0D0D" w:themeColor="text1" w:themeTint="F2"/>
          <w:szCs w:val="20"/>
        </w:rPr>
      </w:pPr>
    </w:p>
    <w:p w:rsidR="00D607B8" w:rsidRDefault="00D607B8" w:rsidP="000B731A">
      <w:pPr>
        <w:pStyle w:val="Textedebase"/>
        <w:ind w:left="0"/>
        <w:rPr>
          <w:b/>
          <w:bCs/>
          <w:color w:val="0D0D0D" w:themeColor="text1" w:themeTint="F2"/>
          <w:szCs w:val="20"/>
        </w:rPr>
      </w:pPr>
    </w:p>
    <w:p w:rsidR="00D607B8" w:rsidRDefault="00F86138" w:rsidP="000B731A">
      <w:pPr>
        <w:pStyle w:val="Textedebase"/>
        <w:ind w:left="0"/>
        <w:rPr>
          <w:b/>
          <w:bCs/>
          <w:color w:val="0D0D0D" w:themeColor="text1" w:themeTint="F2"/>
          <w:szCs w:val="20"/>
        </w:rPr>
      </w:pPr>
      <w:r>
        <w:rPr>
          <w:b/>
          <w:bCs/>
          <w:noProof/>
          <w:color w:val="0D0D0D" w:themeColor="text1" w:themeTint="F2"/>
          <w:szCs w:val="20"/>
          <w:lang w:eastAsia="fr-FR"/>
        </w:rPr>
        <w:pict>
          <v:shape id="_x0000_s1107" type="#_x0000_t202" style="position:absolute;left:0;text-align:left;margin-left:275.85pt;margin-top:6.75pt;width:243.8pt;height:19.05pt;z-index:251755520;mso-width-relative:margin;mso-height-relative:margin;v-text-anchor:middle" filled="f" stroked="f">
            <v:textbox style="mso-next-textbox:#_x0000_s1107">
              <w:txbxContent>
                <w:p w:rsidR="00144D6D" w:rsidRPr="000B731A" w:rsidRDefault="00144D6D" w:rsidP="00E84C70">
                  <w:pPr>
                    <w:spacing w:after="0" w:line="240" w:lineRule="auto"/>
                    <w:jc w:val="left"/>
                    <w:rPr>
                      <w:color w:val="262626" w:themeColor="text1" w:themeTint="D9"/>
                      <w:sz w:val="18"/>
                      <w:szCs w:val="18"/>
                      <w:lang w:val="en-US"/>
                    </w:rPr>
                  </w:pPr>
                  <w:proofErr w:type="gramStart"/>
                  <w:r>
                    <w:rPr>
                      <w:color w:val="262626" w:themeColor="text1" w:themeTint="D9"/>
                      <w:sz w:val="18"/>
                      <w:szCs w:val="18"/>
                      <w:lang w:val="en-US"/>
                    </w:rPr>
                    <w:t>Source :</w:t>
                  </w:r>
                  <w:proofErr w:type="gramEnd"/>
                  <w:r>
                    <w:rPr>
                      <w:color w:val="262626" w:themeColor="text1" w:themeTint="D9"/>
                      <w:sz w:val="18"/>
                      <w:szCs w:val="18"/>
                      <w:lang w:val="en-US"/>
                    </w:rPr>
                    <w:t xml:space="preserve"> OCDE (Health Data 2012)</w:t>
                  </w:r>
                </w:p>
              </w:txbxContent>
            </v:textbox>
          </v:shape>
        </w:pict>
      </w:r>
      <w:r>
        <w:rPr>
          <w:b/>
          <w:bCs/>
          <w:noProof/>
          <w:color w:val="0D0D0D" w:themeColor="text1" w:themeTint="F2"/>
          <w:szCs w:val="20"/>
          <w:lang w:eastAsia="fr-FR"/>
        </w:rPr>
        <w:pict>
          <v:shape id="_x0000_s1105" type="#_x0000_t202" style="position:absolute;left:0;text-align:left;margin-left:-20.5pt;margin-top:6.95pt;width:207.3pt;height:20.05pt;z-index:251752448;mso-width-relative:margin;mso-height-relative:margin;v-text-anchor:middle" filled="f" stroked="f">
            <v:textbox style="mso-next-textbox:#_x0000_s1105">
              <w:txbxContent>
                <w:p w:rsidR="00144D6D" w:rsidRPr="000B731A" w:rsidRDefault="00144D6D" w:rsidP="00116F08">
                  <w:pPr>
                    <w:spacing w:after="0" w:line="240" w:lineRule="auto"/>
                    <w:jc w:val="left"/>
                    <w:rPr>
                      <w:color w:val="262626" w:themeColor="text1" w:themeTint="D9"/>
                      <w:sz w:val="18"/>
                      <w:szCs w:val="18"/>
                      <w:lang w:val="en-US"/>
                    </w:rPr>
                  </w:pPr>
                  <w:proofErr w:type="gramStart"/>
                  <w:r>
                    <w:rPr>
                      <w:color w:val="262626" w:themeColor="text1" w:themeTint="D9"/>
                      <w:sz w:val="18"/>
                      <w:szCs w:val="18"/>
                      <w:lang w:val="en-US"/>
                    </w:rPr>
                    <w:t>Sources :</w:t>
                  </w:r>
                  <w:proofErr w:type="gramEnd"/>
                  <w:r>
                    <w:rPr>
                      <w:color w:val="262626" w:themeColor="text1" w:themeTint="D9"/>
                      <w:sz w:val="18"/>
                      <w:szCs w:val="18"/>
                      <w:lang w:val="en-US"/>
                    </w:rPr>
                    <w:t xml:space="preserve"> OCDE ; </w:t>
                  </w:r>
                  <w:proofErr w:type="spellStart"/>
                  <w:r>
                    <w:rPr>
                      <w:color w:val="262626" w:themeColor="text1" w:themeTint="D9"/>
                      <w:sz w:val="18"/>
                      <w:szCs w:val="18"/>
                      <w:lang w:val="en-US"/>
                    </w:rPr>
                    <w:t>calculs</w:t>
                  </w:r>
                  <w:proofErr w:type="spellEnd"/>
                  <w:r>
                    <w:rPr>
                      <w:color w:val="262626" w:themeColor="text1" w:themeTint="D9"/>
                      <w:sz w:val="18"/>
                      <w:szCs w:val="18"/>
                      <w:lang w:val="en-US"/>
                    </w:rPr>
                    <w:t xml:space="preserve"> </w:t>
                  </w:r>
                  <w:proofErr w:type="spellStart"/>
                  <w:r>
                    <w:rPr>
                      <w:color w:val="262626" w:themeColor="text1" w:themeTint="D9"/>
                      <w:sz w:val="18"/>
                      <w:szCs w:val="18"/>
                      <w:lang w:val="en-US"/>
                    </w:rPr>
                    <w:t>Asterès</w:t>
                  </w:r>
                  <w:proofErr w:type="spellEnd"/>
                </w:p>
              </w:txbxContent>
            </v:textbox>
          </v:shape>
        </w:pict>
      </w:r>
    </w:p>
    <w:p w:rsidR="00D607B8" w:rsidRDefault="00D607B8" w:rsidP="000B731A">
      <w:pPr>
        <w:pStyle w:val="Textedebase"/>
        <w:ind w:left="0"/>
        <w:rPr>
          <w:b/>
          <w:bCs/>
          <w:color w:val="0D0D0D" w:themeColor="text1" w:themeTint="F2"/>
          <w:szCs w:val="20"/>
        </w:rPr>
      </w:pPr>
    </w:p>
    <w:p w:rsidR="00D607B8" w:rsidRDefault="00D607B8" w:rsidP="000B731A">
      <w:pPr>
        <w:pStyle w:val="Textedebase"/>
        <w:ind w:left="0"/>
        <w:rPr>
          <w:b/>
          <w:bCs/>
          <w:color w:val="0D0D0D" w:themeColor="text1" w:themeTint="F2"/>
          <w:szCs w:val="20"/>
        </w:rPr>
      </w:pPr>
    </w:p>
    <w:p w:rsidR="00D607B8" w:rsidRDefault="00D607B8" w:rsidP="000B731A">
      <w:pPr>
        <w:pStyle w:val="Textedebase"/>
        <w:ind w:left="0"/>
        <w:rPr>
          <w:b/>
          <w:bCs/>
          <w:color w:val="0D0D0D" w:themeColor="text1" w:themeTint="F2"/>
          <w:szCs w:val="20"/>
        </w:rPr>
        <w:sectPr w:rsidR="00D607B8" w:rsidSect="00415E08">
          <w:type w:val="continuous"/>
          <w:pgSz w:w="11906" w:h="16838"/>
          <w:pgMar w:top="1928" w:right="1418" w:bottom="1135" w:left="993" w:header="709" w:footer="709" w:gutter="0"/>
          <w:cols w:space="708"/>
          <w:docGrid w:linePitch="360"/>
        </w:sectPr>
      </w:pPr>
    </w:p>
    <w:p w:rsidR="000B731A" w:rsidRPr="00FA6EF4" w:rsidRDefault="00621120" w:rsidP="00C020D6">
      <w:pPr>
        <w:pStyle w:val="Textedebase"/>
        <w:numPr>
          <w:ilvl w:val="0"/>
          <w:numId w:val="1"/>
        </w:numPr>
        <w:ind w:left="426" w:hanging="426"/>
        <w:rPr>
          <w:sz w:val="21"/>
        </w:rPr>
      </w:pPr>
      <w:r w:rsidRPr="00FA6EF4">
        <w:rPr>
          <w:b/>
          <w:bCs/>
          <w:sz w:val="21"/>
        </w:rPr>
        <w:lastRenderedPageBreak/>
        <w:t>Le vieillissement de la population</w:t>
      </w:r>
    </w:p>
    <w:p w:rsidR="00621120" w:rsidRPr="00FA6EF4" w:rsidRDefault="000B731A" w:rsidP="000B731A">
      <w:pPr>
        <w:pStyle w:val="Textedebase"/>
        <w:ind w:left="426"/>
        <w:jc w:val="left"/>
        <w:rPr>
          <w:szCs w:val="20"/>
        </w:rPr>
      </w:pPr>
      <w:r w:rsidRPr="00FA6EF4">
        <w:rPr>
          <w:szCs w:val="20"/>
        </w:rPr>
        <w:t>P</w:t>
      </w:r>
      <w:r w:rsidR="00621120" w:rsidRPr="00FA6EF4">
        <w:rPr>
          <w:szCs w:val="20"/>
        </w:rPr>
        <w:t>lus une population est âgée, plus elle est consommatrice de soins médicaux. Or, la population vieillit. Les plus de 60 ans représenteront plus de 30% de la population française en 2050, contre 23% actuellement.</w:t>
      </w:r>
      <w:bookmarkEnd w:id="6"/>
      <w:r w:rsidR="00621120" w:rsidRPr="00FA6EF4">
        <w:rPr>
          <w:szCs w:val="20"/>
        </w:rPr>
        <w:t xml:space="preserve"> D’après une étude de la direction générale du Trésor, le vieillissement de la population devrait accroître les dépenses de santé d’ici à 2050 </w:t>
      </w:r>
      <w:r w:rsidR="00A03012">
        <w:rPr>
          <w:szCs w:val="20"/>
        </w:rPr>
        <w:t>entre 0,5 point</w:t>
      </w:r>
      <w:r w:rsidR="00706EB8">
        <w:rPr>
          <w:szCs w:val="20"/>
        </w:rPr>
        <w:t xml:space="preserve"> et</w:t>
      </w:r>
      <w:r w:rsidR="00A03012">
        <w:rPr>
          <w:szCs w:val="20"/>
        </w:rPr>
        <w:t xml:space="preserve"> 2,5 points</w:t>
      </w:r>
      <w:r w:rsidR="00DE6015">
        <w:rPr>
          <w:szCs w:val="20"/>
        </w:rPr>
        <w:t xml:space="preserve"> de</w:t>
      </w:r>
      <w:r w:rsidR="00706EB8">
        <w:rPr>
          <w:szCs w:val="20"/>
        </w:rPr>
        <w:t xml:space="preserve"> PIB</w:t>
      </w:r>
      <w:r w:rsidR="00621120" w:rsidRPr="00FA6EF4">
        <w:rPr>
          <w:szCs w:val="20"/>
        </w:rPr>
        <w:t>. L’hypothèse basse suppose que les séniors consommeront moins de soins à l’avenir grâce à l’amélioration de leur état de santé général. L’hypothèse haute est plus probable et suppose au contraire une intensification des soins aux personnes âgées</w:t>
      </w:r>
      <w:r w:rsidR="00621120" w:rsidRPr="00FA6EF4">
        <w:rPr>
          <w:rStyle w:val="Appelnotedebasdep"/>
          <w:szCs w:val="20"/>
        </w:rPr>
        <w:footnoteReference w:id="1"/>
      </w:r>
      <w:r w:rsidR="00621120" w:rsidRPr="00FA6EF4">
        <w:rPr>
          <w:szCs w:val="20"/>
        </w:rPr>
        <w:t>.</w:t>
      </w:r>
      <w:r w:rsidR="00706EB8">
        <w:rPr>
          <w:szCs w:val="20"/>
        </w:rPr>
        <w:t xml:space="preserve"> L’effet du vieillissement sur les dépenses de santé fait cependant débat. Cet effet serait relativement modéré car les dépenses de santé d’un individu s’accroissent fortement durant ses dernières années de vie quel</w:t>
      </w:r>
      <w:r w:rsidR="004D6C65">
        <w:rPr>
          <w:szCs w:val="20"/>
        </w:rPr>
        <w:t xml:space="preserve"> </w:t>
      </w:r>
      <w:r w:rsidR="00706EB8">
        <w:rPr>
          <w:szCs w:val="20"/>
        </w:rPr>
        <w:t>que soit son âge.</w:t>
      </w:r>
    </w:p>
    <w:p w:rsidR="000B731A" w:rsidRDefault="00F86138" w:rsidP="000B731A">
      <w:pPr>
        <w:pStyle w:val="Textedebase"/>
        <w:ind w:left="0"/>
        <w:rPr>
          <w:color w:val="0D0D0D" w:themeColor="text1" w:themeTint="F2"/>
          <w:szCs w:val="20"/>
        </w:rPr>
      </w:pPr>
      <w:r>
        <w:rPr>
          <w:noProof/>
          <w:color w:val="0D0D0D" w:themeColor="text1" w:themeTint="F2"/>
          <w:szCs w:val="20"/>
          <w:lang w:eastAsia="fr-FR"/>
        </w:rPr>
        <w:pict>
          <v:shape id="_x0000_s1108" type="#_x0000_t202" style="position:absolute;left:0;text-align:left;margin-left:13.25pt;margin-top:21.5pt;width:492pt;height:33pt;z-index:251757568;mso-width-relative:margin;mso-height-relative:margin" filled="f" stroked="f">
            <v:textbox style="mso-next-textbox:#_x0000_s1108">
              <w:txbxContent>
                <w:p w:rsidR="00144D6D" w:rsidRDefault="00144D6D" w:rsidP="00DA1E57">
                  <w:pPr>
                    <w:tabs>
                      <w:tab w:val="left" w:pos="993"/>
                    </w:tabs>
                    <w:spacing w:after="0" w:line="240" w:lineRule="auto"/>
                    <w:ind w:left="990" w:hanging="990"/>
                    <w:jc w:val="left"/>
                    <w:rPr>
                      <w:b/>
                      <w:color w:val="262626" w:themeColor="text1" w:themeTint="D9"/>
                      <w:sz w:val="20"/>
                      <w:szCs w:val="20"/>
                    </w:rPr>
                  </w:pPr>
                  <w:r>
                    <w:rPr>
                      <w:color w:val="7A003C"/>
                      <w:sz w:val="18"/>
                      <w:szCs w:val="18"/>
                    </w:rPr>
                    <w:t>Graph 12</w:t>
                  </w:r>
                  <w:r w:rsidRPr="00987897">
                    <w:rPr>
                      <w:color w:val="7A003C"/>
                      <w:sz w:val="18"/>
                      <w:szCs w:val="18"/>
                    </w:rPr>
                    <w:t>.</w:t>
                  </w:r>
                  <w:r>
                    <w:rPr>
                      <w:color w:val="7A003C"/>
                      <w:sz w:val="18"/>
                      <w:szCs w:val="18"/>
                    </w:rPr>
                    <w:tab/>
                  </w:r>
                  <w:r>
                    <w:rPr>
                      <w:b/>
                      <w:color w:val="262626" w:themeColor="text1" w:themeTint="D9"/>
                      <w:sz w:val="20"/>
                      <w:szCs w:val="20"/>
                    </w:rPr>
                    <w:t xml:space="preserve">Taux d’obésité dans les pays de l’OCDE en 1990, 2000 et 2009 </w:t>
                  </w:r>
                  <w:r w:rsidRPr="00DA1E57">
                    <w:rPr>
                      <w:color w:val="262626" w:themeColor="text1" w:themeTint="D9"/>
                      <w:sz w:val="18"/>
                      <w:szCs w:val="18"/>
                    </w:rPr>
                    <w:t>(ou dernière année disponible)</w:t>
                  </w:r>
                </w:p>
                <w:p w:rsidR="00144D6D" w:rsidRPr="00116F08" w:rsidRDefault="00144D6D" w:rsidP="00DA1E57">
                  <w:pPr>
                    <w:tabs>
                      <w:tab w:val="left" w:pos="993"/>
                    </w:tabs>
                    <w:spacing w:after="0" w:line="240" w:lineRule="auto"/>
                    <w:ind w:left="990" w:hanging="990"/>
                    <w:jc w:val="left"/>
                    <w:rPr>
                      <w:i/>
                      <w:color w:val="7A003C"/>
                      <w:sz w:val="18"/>
                      <w:szCs w:val="18"/>
                    </w:rPr>
                  </w:pPr>
                  <w:r w:rsidRPr="00116F08">
                    <w:rPr>
                      <w:i/>
                      <w:color w:val="262626" w:themeColor="text1" w:themeTint="D9"/>
                      <w:sz w:val="18"/>
                      <w:szCs w:val="18"/>
                    </w:rPr>
                    <w:tab/>
                    <w:t xml:space="preserve">En </w:t>
                  </w:r>
                  <w:r>
                    <w:rPr>
                      <w:i/>
                      <w:color w:val="262626" w:themeColor="text1" w:themeTint="D9"/>
                      <w:sz w:val="18"/>
                      <w:szCs w:val="18"/>
                    </w:rPr>
                    <w:t>pourcentage de la population adulte</w:t>
                  </w:r>
                </w:p>
                <w:p w:rsidR="00144D6D" w:rsidRPr="00987897" w:rsidRDefault="00144D6D" w:rsidP="00DA1E57">
                  <w:pPr>
                    <w:rPr>
                      <w:color w:val="7A003C"/>
                      <w:sz w:val="18"/>
                      <w:szCs w:val="18"/>
                    </w:rPr>
                  </w:pPr>
                </w:p>
              </w:txbxContent>
            </v:textbox>
          </v:shape>
        </w:pict>
      </w:r>
    </w:p>
    <w:p w:rsidR="00D607B8" w:rsidRDefault="00D607B8" w:rsidP="000B731A">
      <w:pPr>
        <w:pStyle w:val="Textedebase"/>
        <w:ind w:left="0"/>
        <w:rPr>
          <w:color w:val="0D0D0D" w:themeColor="text1" w:themeTint="F2"/>
          <w:szCs w:val="20"/>
        </w:rPr>
      </w:pPr>
    </w:p>
    <w:p w:rsidR="00D607B8" w:rsidRDefault="00DF1E17" w:rsidP="000B731A">
      <w:pPr>
        <w:pStyle w:val="Textedebase"/>
        <w:ind w:left="0"/>
        <w:rPr>
          <w:color w:val="0D0D0D" w:themeColor="text1" w:themeTint="F2"/>
          <w:szCs w:val="20"/>
        </w:rPr>
      </w:pPr>
      <w:r>
        <w:rPr>
          <w:noProof/>
          <w:color w:val="0D0D0D" w:themeColor="text1" w:themeTint="F2"/>
          <w:szCs w:val="20"/>
          <w:lang w:eastAsia="fr-FR"/>
        </w:rPr>
        <w:drawing>
          <wp:anchor distT="0" distB="0" distL="114300" distR="114300" simplePos="0" relativeHeight="251756544" behindDoc="0" locked="0" layoutInCell="1" allowOverlap="1">
            <wp:simplePos x="0" y="0"/>
            <wp:positionH relativeFrom="column">
              <wp:posOffset>176771</wp:posOffset>
            </wp:positionH>
            <wp:positionV relativeFrom="paragraph">
              <wp:posOffset>63106</wp:posOffset>
            </wp:positionV>
            <wp:extent cx="6082205" cy="2664372"/>
            <wp:effectExtent l="19050" t="0" r="0" b="0"/>
            <wp:wrapNone/>
            <wp:docPr id="29"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D607B8" w:rsidRDefault="00D607B8" w:rsidP="000B731A">
      <w:pPr>
        <w:pStyle w:val="Textedebase"/>
        <w:ind w:left="0"/>
        <w:rPr>
          <w:color w:val="0D0D0D" w:themeColor="text1" w:themeTint="F2"/>
          <w:szCs w:val="20"/>
        </w:rPr>
      </w:pPr>
    </w:p>
    <w:p w:rsidR="00D607B8" w:rsidRDefault="00D607B8" w:rsidP="000B731A">
      <w:pPr>
        <w:pStyle w:val="Textedebase"/>
        <w:ind w:left="0"/>
        <w:rPr>
          <w:color w:val="0D0D0D" w:themeColor="text1" w:themeTint="F2"/>
          <w:szCs w:val="20"/>
        </w:rPr>
      </w:pPr>
    </w:p>
    <w:p w:rsidR="00D607B8" w:rsidRDefault="00D607B8" w:rsidP="000B731A">
      <w:pPr>
        <w:pStyle w:val="Textedebase"/>
        <w:ind w:left="0"/>
        <w:rPr>
          <w:color w:val="0D0D0D" w:themeColor="text1" w:themeTint="F2"/>
          <w:szCs w:val="20"/>
        </w:rPr>
      </w:pPr>
    </w:p>
    <w:p w:rsidR="00D607B8" w:rsidRDefault="00D607B8" w:rsidP="000B731A">
      <w:pPr>
        <w:pStyle w:val="Textedebase"/>
        <w:ind w:left="0"/>
        <w:rPr>
          <w:color w:val="0D0D0D" w:themeColor="text1" w:themeTint="F2"/>
          <w:szCs w:val="20"/>
        </w:rPr>
      </w:pPr>
    </w:p>
    <w:p w:rsidR="00D607B8" w:rsidRDefault="00D607B8" w:rsidP="000B731A">
      <w:pPr>
        <w:pStyle w:val="Textedebase"/>
        <w:ind w:left="0"/>
        <w:rPr>
          <w:color w:val="0D0D0D" w:themeColor="text1" w:themeTint="F2"/>
          <w:szCs w:val="20"/>
        </w:rPr>
      </w:pPr>
    </w:p>
    <w:p w:rsidR="00D607B8" w:rsidRDefault="00D607B8" w:rsidP="000B731A">
      <w:pPr>
        <w:pStyle w:val="Textedebase"/>
        <w:ind w:left="0"/>
        <w:rPr>
          <w:color w:val="0D0D0D" w:themeColor="text1" w:themeTint="F2"/>
          <w:szCs w:val="20"/>
        </w:rPr>
      </w:pPr>
    </w:p>
    <w:p w:rsidR="00D607B8" w:rsidRDefault="00D607B8" w:rsidP="000B731A">
      <w:pPr>
        <w:pStyle w:val="Textedebase"/>
        <w:ind w:left="0"/>
        <w:rPr>
          <w:color w:val="0D0D0D" w:themeColor="text1" w:themeTint="F2"/>
          <w:szCs w:val="20"/>
        </w:rPr>
      </w:pPr>
    </w:p>
    <w:p w:rsidR="00D607B8" w:rsidRDefault="00F86138" w:rsidP="000B731A">
      <w:pPr>
        <w:pStyle w:val="Textedebase"/>
        <w:ind w:left="0"/>
        <w:rPr>
          <w:color w:val="0D0D0D" w:themeColor="text1" w:themeTint="F2"/>
          <w:szCs w:val="20"/>
        </w:rPr>
      </w:pPr>
      <w:r>
        <w:rPr>
          <w:noProof/>
          <w:color w:val="0D0D0D" w:themeColor="text1" w:themeTint="F2"/>
          <w:szCs w:val="20"/>
          <w:lang w:eastAsia="fr-FR"/>
        </w:rPr>
        <w:pict>
          <v:shape id="_x0000_s1109" type="#_x0000_t202" style="position:absolute;left:0;text-align:left;margin-left:19.85pt;margin-top:20pt;width:383.5pt;height:58.6pt;z-index:251758592;mso-width-relative:margin;mso-height-relative:margin;v-text-anchor:middle" filled="f" stroked="f">
            <v:textbox>
              <w:txbxContent>
                <w:p w:rsidR="00144D6D" w:rsidRDefault="00144D6D" w:rsidP="00DA1E57">
                  <w:pPr>
                    <w:tabs>
                      <w:tab w:val="left" w:pos="567"/>
                    </w:tabs>
                    <w:spacing w:after="0" w:line="240" w:lineRule="auto"/>
                    <w:jc w:val="left"/>
                    <w:rPr>
                      <w:color w:val="262626" w:themeColor="text1" w:themeTint="D9"/>
                      <w:sz w:val="18"/>
                      <w:szCs w:val="18"/>
                    </w:rPr>
                  </w:pPr>
                  <w:r>
                    <w:rPr>
                      <w:color w:val="262626" w:themeColor="text1" w:themeTint="D9"/>
                      <w:sz w:val="18"/>
                      <w:szCs w:val="18"/>
                    </w:rPr>
                    <w:t xml:space="preserve">Notes : </w:t>
                  </w:r>
                  <w:r>
                    <w:rPr>
                      <w:color w:val="262626" w:themeColor="text1" w:themeTint="D9"/>
                      <w:sz w:val="18"/>
                      <w:szCs w:val="18"/>
                    </w:rPr>
                    <w:tab/>
                    <w:t>*les données sont basées sur des relevés de mesures plutôt que sur des auto-déclarations</w:t>
                  </w:r>
                </w:p>
                <w:p w:rsidR="00144D6D" w:rsidRDefault="00144D6D" w:rsidP="00DA1E57">
                  <w:pPr>
                    <w:tabs>
                      <w:tab w:val="left" w:pos="567"/>
                    </w:tabs>
                    <w:spacing w:after="120" w:line="240" w:lineRule="auto"/>
                    <w:jc w:val="left"/>
                    <w:rPr>
                      <w:color w:val="262626" w:themeColor="text1" w:themeTint="D9"/>
                      <w:sz w:val="18"/>
                      <w:szCs w:val="18"/>
                    </w:rPr>
                  </w:pPr>
                  <w:r>
                    <w:rPr>
                      <w:color w:val="262626" w:themeColor="text1" w:themeTint="D9"/>
                      <w:sz w:val="18"/>
                      <w:szCs w:val="18"/>
                    </w:rPr>
                    <w:tab/>
                    <w:t>**la moyenne de l’OCDE est non pondérée</w:t>
                  </w:r>
                </w:p>
                <w:p w:rsidR="00144D6D" w:rsidRPr="00DA1E57" w:rsidRDefault="00144D6D" w:rsidP="00DA1E57">
                  <w:pPr>
                    <w:spacing w:after="0" w:line="240" w:lineRule="auto"/>
                    <w:jc w:val="left"/>
                    <w:rPr>
                      <w:color w:val="262626" w:themeColor="text1" w:themeTint="D9"/>
                      <w:sz w:val="18"/>
                      <w:szCs w:val="18"/>
                    </w:rPr>
                  </w:pPr>
                  <w:r w:rsidRPr="00DA1E57">
                    <w:rPr>
                      <w:color w:val="262626" w:themeColor="text1" w:themeTint="D9"/>
                      <w:sz w:val="18"/>
                      <w:szCs w:val="18"/>
                    </w:rPr>
                    <w:t>Source : OCDE (Panorama de la s</w:t>
                  </w:r>
                  <w:r>
                    <w:rPr>
                      <w:color w:val="262626" w:themeColor="text1" w:themeTint="D9"/>
                      <w:sz w:val="18"/>
                      <w:szCs w:val="18"/>
                    </w:rPr>
                    <w:t>anté 2011)</w:t>
                  </w:r>
                </w:p>
              </w:txbxContent>
            </v:textbox>
          </v:shape>
        </w:pict>
      </w:r>
    </w:p>
    <w:p w:rsidR="00D607B8" w:rsidRDefault="00D607B8" w:rsidP="000B731A">
      <w:pPr>
        <w:pStyle w:val="Textedebase"/>
        <w:ind w:left="0"/>
        <w:rPr>
          <w:color w:val="0D0D0D" w:themeColor="text1" w:themeTint="F2"/>
          <w:szCs w:val="20"/>
        </w:rPr>
      </w:pPr>
    </w:p>
    <w:p w:rsidR="00D607B8" w:rsidRPr="006C5965" w:rsidRDefault="00D607B8" w:rsidP="000B731A">
      <w:pPr>
        <w:pStyle w:val="Textedebase"/>
        <w:ind w:left="0"/>
        <w:rPr>
          <w:color w:val="0D0D0D" w:themeColor="text1" w:themeTint="F2"/>
          <w:szCs w:val="20"/>
        </w:rPr>
      </w:pPr>
    </w:p>
    <w:p w:rsidR="000B731A" w:rsidRPr="00FA6EF4" w:rsidRDefault="00621120" w:rsidP="00C020D6">
      <w:pPr>
        <w:pStyle w:val="Textedebase"/>
        <w:numPr>
          <w:ilvl w:val="0"/>
          <w:numId w:val="1"/>
        </w:numPr>
        <w:ind w:left="426" w:hanging="426"/>
        <w:jc w:val="left"/>
        <w:rPr>
          <w:sz w:val="21"/>
        </w:rPr>
      </w:pPr>
      <w:r w:rsidRPr="00FA6EF4">
        <w:rPr>
          <w:b/>
          <w:sz w:val="21"/>
        </w:rPr>
        <w:lastRenderedPageBreak/>
        <w:t>L’émergence de maladies dites « industrielles »</w:t>
      </w:r>
    </w:p>
    <w:p w:rsidR="00706EB8" w:rsidRDefault="000B731A" w:rsidP="00706EB8">
      <w:pPr>
        <w:pStyle w:val="Textedebase"/>
        <w:spacing w:after="40"/>
        <w:ind w:left="426"/>
        <w:jc w:val="left"/>
      </w:pPr>
      <w:r w:rsidRPr="00FA6EF4">
        <w:t>L</w:t>
      </w:r>
      <w:r w:rsidR="00621120" w:rsidRPr="00FA6EF4">
        <w:t>es modes de vie modernes poussent les individus à adopter des comportements à risque pour leur santé. Ces comportements ont généré de nouveaux types d’épidémies qualifiées d’industrielles. Celles-ci sont par exemple liées à une consommation excessive</w:t>
      </w:r>
      <w:r w:rsidR="00706EB8">
        <w:t xml:space="preserve"> : </w:t>
      </w:r>
    </w:p>
    <w:p w:rsidR="00706EB8" w:rsidRPr="00706EB8" w:rsidRDefault="00706EB8" w:rsidP="00C020D6">
      <w:pPr>
        <w:pStyle w:val="Textedebase"/>
        <w:numPr>
          <w:ilvl w:val="0"/>
          <w:numId w:val="20"/>
        </w:numPr>
        <w:spacing w:after="40"/>
        <w:ind w:left="709" w:right="-143" w:hanging="283"/>
        <w:jc w:val="left"/>
        <w:rPr>
          <w:szCs w:val="20"/>
        </w:rPr>
      </w:pPr>
      <w:r>
        <w:t>de tabac ;</w:t>
      </w:r>
    </w:p>
    <w:p w:rsidR="00706EB8" w:rsidRPr="00706EB8" w:rsidRDefault="00706EB8" w:rsidP="00C020D6">
      <w:pPr>
        <w:pStyle w:val="Textedebase"/>
        <w:numPr>
          <w:ilvl w:val="0"/>
          <w:numId w:val="20"/>
        </w:numPr>
        <w:spacing w:after="40"/>
        <w:ind w:left="709" w:right="-143" w:hanging="283"/>
        <w:jc w:val="left"/>
        <w:rPr>
          <w:szCs w:val="20"/>
        </w:rPr>
      </w:pPr>
      <w:r>
        <w:t>d’alcool ;</w:t>
      </w:r>
    </w:p>
    <w:p w:rsidR="00706EB8" w:rsidRPr="00706EB8" w:rsidRDefault="00706EB8" w:rsidP="00C020D6">
      <w:pPr>
        <w:pStyle w:val="Textedebase"/>
        <w:numPr>
          <w:ilvl w:val="0"/>
          <w:numId w:val="20"/>
        </w:numPr>
        <w:spacing w:after="40"/>
        <w:ind w:left="709" w:right="-143" w:hanging="283"/>
        <w:jc w:val="left"/>
        <w:rPr>
          <w:szCs w:val="20"/>
        </w:rPr>
      </w:pPr>
      <w:r>
        <w:t>de drogues ;</w:t>
      </w:r>
    </w:p>
    <w:p w:rsidR="00706EB8" w:rsidRPr="004D6C65" w:rsidRDefault="00706EB8" w:rsidP="00C020D6">
      <w:pPr>
        <w:pStyle w:val="Textedebase"/>
        <w:numPr>
          <w:ilvl w:val="0"/>
          <w:numId w:val="20"/>
        </w:numPr>
        <w:spacing w:after="40"/>
        <w:ind w:left="709" w:right="-143" w:hanging="283"/>
        <w:jc w:val="left"/>
        <w:rPr>
          <w:szCs w:val="20"/>
        </w:rPr>
      </w:pPr>
      <w:r>
        <w:t>d’a</w:t>
      </w:r>
      <w:r w:rsidR="00621120" w:rsidRPr="00FA6EF4">
        <w:t>liments déséquilibrés</w:t>
      </w:r>
      <w:r>
        <w:t xml:space="preserve"> n</w:t>
      </w:r>
      <w:r w:rsidR="004D6C65">
        <w:t>utritionnellement ;</w:t>
      </w:r>
    </w:p>
    <w:p w:rsidR="004D6C65" w:rsidRPr="00706EB8" w:rsidRDefault="004D6C65" w:rsidP="004D6C65">
      <w:pPr>
        <w:pStyle w:val="Textedebase"/>
        <w:spacing w:after="40"/>
        <w:ind w:left="426" w:right="-143"/>
        <w:jc w:val="left"/>
        <w:rPr>
          <w:szCs w:val="20"/>
        </w:rPr>
      </w:pPr>
      <w:proofErr w:type="gramStart"/>
      <w:r>
        <w:t>ou</w:t>
      </w:r>
      <w:proofErr w:type="gramEnd"/>
      <w:r>
        <w:t xml:space="preserve"> encore :</w:t>
      </w:r>
    </w:p>
    <w:p w:rsidR="00706EB8" w:rsidRPr="00706EB8" w:rsidRDefault="00621120" w:rsidP="00C020D6">
      <w:pPr>
        <w:pStyle w:val="Textedebase"/>
        <w:numPr>
          <w:ilvl w:val="0"/>
          <w:numId w:val="20"/>
        </w:numPr>
        <w:spacing w:after="40"/>
        <w:ind w:left="709" w:right="-143" w:hanging="283"/>
        <w:jc w:val="left"/>
        <w:rPr>
          <w:szCs w:val="20"/>
        </w:rPr>
      </w:pPr>
      <w:r w:rsidRPr="00FA6EF4">
        <w:t xml:space="preserve">à la sédentarité </w:t>
      </w:r>
      <w:r w:rsidR="00706EB8">
        <w:t>des personnes ;</w:t>
      </w:r>
    </w:p>
    <w:p w:rsidR="00656181" w:rsidRPr="00656181" w:rsidRDefault="00621120" w:rsidP="00C020D6">
      <w:pPr>
        <w:pStyle w:val="Textedebase"/>
        <w:numPr>
          <w:ilvl w:val="0"/>
          <w:numId w:val="20"/>
        </w:numPr>
        <w:spacing w:after="40"/>
        <w:ind w:left="709" w:right="-143" w:hanging="283"/>
        <w:jc w:val="left"/>
        <w:rPr>
          <w:szCs w:val="20"/>
        </w:rPr>
      </w:pPr>
      <w:r w:rsidRPr="00FA6EF4">
        <w:t>à des pratiques dang</w:t>
      </w:r>
      <w:r w:rsidR="002F269C" w:rsidRPr="00FA6EF4">
        <w:t>ereuses (accidents de la route).</w:t>
      </w:r>
    </w:p>
    <w:p w:rsidR="00656181" w:rsidRPr="00FA6EF4" w:rsidRDefault="00656181" w:rsidP="00656181">
      <w:pPr>
        <w:pStyle w:val="Textedebase"/>
        <w:spacing w:after="0"/>
        <w:ind w:left="425" w:right="-142"/>
        <w:jc w:val="left"/>
        <w:rPr>
          <w:szCs w:val="20"/>
        </w:rPr>
        <w:sectPr w:rsidR="00656181" w:rsidRPr="00FA6EF4" w:rsidSect="000B731A">
          <w:type w:val="continuous"/>
          <w:pgSz w:w="11906" w:h="16838"/>
          <w:pgMar w:top="1928" w:right="1418" w:bottom="1135" w:left="993" w:header="709" w:footer="709" w:gutter="0"/>
          <w:cols w:num="2" w:space="708"/>
          <w:docGrid w:linePitch="360"/>
        </w:sectPr>
      </w:pPr>
      <w:r>
        <w:t>La progression actuelle de l’obésité va par exemple se traduire par d’importante</w:t>
      </w:r>
      <w:r w:rsidR="0092159E">
        <w:t>s</w:t>
      </w:r>
      <w:r>
        <w:t xml:space="preserve"> dépense</w:t>
      </w:r>
      <w:r w:rsidR="0092159E">
        <w:t>s</w:t>
      </w:r>
      <w:r>
        <w:t xml:space="preserve"> de santé sur le moyen long terme.</w:t>
      </w:r>
    </w:p>
    <w:p w:rsidR="00092712" w:rsidRPr="00DF1E17" w:rsidRDefault="002F269C" w:rsidP="00DF1E17">
      <w:pPr>
        <w:pStyle w:val="Titre3"/>
        <w:keepNext w:val="0"/>
        <w:keepLines w:val="0"/>
        <w:spacing w:before="0" w:after="240"/>
        <w:ind w:left="851" w:right="2977" w:hanging="851"/>
        <w:rPr>
          <w:rFonts w:asciiTheme="minorHAnsi" w:hAnsiTheme="minorHAnsi"/>
          <w:i/>
          <w:color w:val="17365D" w:themeColor="text2" w:themeShade="BF"/>
          <w:sz w:val="26"/>
          <w:szCs w:val="26"/>
        </w:rPr>
      </w:pPr>
      <w:r w:rsidRPr="002F269C">
        <w:rPr>
          <w:rFonts w:asciiTheme="minorHAnsi" w:hAnsiTheme="minorHAnsi"/>
          <w:color w:val="7A003C"/>
          <w:sz w:val="18"/>
          <w:szCs w:val="18"/>
        </w:rPr>
        <w:lastRenderedPageBreak/>
        <w:t>[1.3]</w:t>
      </w:r>
      <w:r>
        <w:rPr>
          <w:rFonts w:asciiTheme="minorHAnsi" w:hAnsiTheme="minorHAnsi"/>
          <w:color w:val="1F497D" w:themeColor="text2"/>
          <w:sz w:val="26"/>
          <w:szCs w:val="26"/>
        </w:rPr>
        <w:tab/>
      </w:r>
      <w:r w:rsidR="005C0B0E" w:rsidRPr="002F269C">
        <w:rPr>
          <w:rFonts w:asciiTheme="minorHAnsi" w:hAnsiTheme="minorHAnsi"/>
          <w:i/>
          <w:color w:val="17365D" w:themeColor="text2" w:themeShade="BF"/>
          <w:sz w:val="26"/>
          <w:szCs w:val="26"/>
        </w:rPr>
        <w:t>La politique publique de santé doit s’adapter à la croissance des dépenses de soins</w:t>
      </w:r>
    </w:p>
    <w:p w:rsidR="00621120" w:rsidRPr="00FA6EF4" w:rsidRDefault="00621120" w:rsidP="00964C2C">
      <w:pPr>
        <w:pStyle w:val="Textedebase"/>
        <w:spacing w:after="120"/>
        <w:ind w:left="0"/>
        <w:jc w:val="left"/>
        <w:rPr>
          <w:szCs w:val="20"/>
        </w:rPr>
      </w:pPr>
      <w:r w:rsidRPr="00FA6EF4">
        <w:rPr>
          <w:szCs w:val="20"/>
        </w:rPr>
        <w:t>Dans les pays où la prise en charge des soins médicaux relève principalement de la solidarité nationale, comme c’est le cas en France, les pouvoirs publics devront adapter leurs p</w:t>
      </w:r>
      <w:r w:rsidR="00B87B7A" w:rsidRPr="00FA6EF4">
        <w:rPr>
          <w:szCs w:val="20"/>
        </w:rPr>
        <w:t>olitiques de santé en adoptant les quatre stratégies suivantes :</w:t>
      </w:r>
    </w:p>
    <w:p w:rsidR="00621120" w:rsidRPr="00FA6EF4" w:rsidRDefault="00621120" w:rsidP="00C020D6">
      <w:pPr>
        <w:pStyle w:val="Paragraphedeliste"/>
        <w:numPr>
          <w:ilvl w:val="0"/>
          <w:numId w:val="10"/>
        </w:numPr>
        <w:spacing w:after="0" w:line="240" w:lineRule="auto"/>
        <w:ind w:left="993" w:hanging="425"/>
        <w:contextualSpacing w:val="0"/>
        <w:rPr>
          <w:b/>
          <w:color w:val="262626" w:themeColor="text1" w:themeTint="D9"/>
          <w:sz w:val="20"/>
          <w:szCs w:val="20"/>
        </w:rPr>
      </w:pPr>
      <w:r w:rsidRPr="00FA6EF4">
        <w:rPr>
          <w:b/>
          <w:color w:val="262626" w:themeColor="text1" w:themeTint="D9"/>
          <w:sz w:val="20"/>
          <w:szCs w:val="20"/>
        </w:rPr>
        <w:t>Accentuer l’efficience des dépenses de soins ;</w:t>
      </w:r>
    </w:p>
    <w:p w:rsidR="00621120" w:rsidRPr="00FA6EF4" w:rsidRDefault="005A1022" w:rsidP="00C020D6">
      <w:pPr>
        <w:pStyle w:val="Paragraphedeliste"/>
        <w:numPr>
          <w:ilvl w:val="0"/>
          <w:numId w:val="10"/>
        </w:numPr>
        <w:spacing w:after="0" w:line="240" w:lineRule="auto"/>
        <w:ind w:left="1276" w:hanging="425"/>
        <w:contextualSpacing w:val="0"/>
        <w:rPr>
          <w:b/>
          <w:color w:val="262626" w:themeColor="text1" w:themeTint="D9"/>
          <w:sz w:val="20"/>
          <w:szCs w:val="20"/>
        </w:rPr>
      </w:pPr>
      <w:r w:rsidRPr="00FA6EF4">
        <w:rPr>
          <w:b/>
          <w:color w:val="262626" w:themeColor="text1" w:themeTint="D9"/>
          <w:sz w:val="20"/>
          <w:szCs w:val="20"/>
        </w:rPr>
        <w:t>Diversifier</w:t>
      </w:r>
      <w:r w:rsidR="00621120" w:rsidRPr="00FA6EF4">
        <w:rPr>
          <w:b/>
          <w:color w:val="262626" w:themeColor="text1" w:themeTint="D9"/>
          <w:sz w:val="20"/>
          <w:szCs w:val="20"/>
        </w:rPr>
        <w:t xml:space="preserve"> les </w:t>
      </w:r>
      <w:r w:rsidRPr="00FA6EF4">
        <w:rPr>
          <w:b/>
          <w:color w:val="262626" w:themeColor="text1" w:themeTint="D9"/>
          <w:sz w:val="20"/>
          <w:szCs w:val="20"/>
        </w:rPr>
        <w:t>sources de financement</w:t>
      </w:r>
      <w:r w:rsidR="00621120" w:rsidRPr="00FA6EF4">
        <w:rPr>
          <w:b/>
          <w:color w:val="262626" w:themeColor="text1" w:themeTint="D9"/>
          <w:sz w:val="20"/>
          <w:szCs w:val="20"/>
        </w:rPr>
        <w:t> ;</w:t>
      </w:r>
    </w:p>
    <w:p w:rsidR="00621120" w:rsidRPr="00FA6EF4" w:rsidRDefault="00621120" w:rsidP="00C020D6">
      <w:pPr>
        <w:pStyle w:val="Paragraphedeliste"/>
        <w:numPr>
          <w:ilvl w:val="0"/>
          <w:numId w:val="10"/>
        </w:numPr>
        <w:spacing w:after="0" w:line="240" w:lineRule="auto"/>
        <w:ind w:left="1560" w:hanging="425"/>
        <w:contextualSpacing w:val="0"/>
        <w:rPr>
          <w:b/>
          <w:color w:val="262626" w:themeColor="text1" w:themeTint="D9"/>
          <w:sz w:val="20"/>
          <w:szCs w:val="20"/>
        </w:rPr>
      </w:pPr>
      <w:r w:rsidRPr="00FA6EF4">
        <w:rPr>
          <w:b/>
          <w:color w:val="262626" w:themeColor="text1" w:themeTint="D9"/>
          <w:sz w:val="20"/>
          <w:szCs w:val="20"/>
        </w:rPr>
        <w:t xml:space="preserve">Resserrer le champ des affections </w:t>
      </w:r>
      <w:r w:rsidR="007C781D">
        <w:rPr>
          <w:b/>
          <w:color w:val="262626" w:themeColor="text1" w:themeTint="D9"/>
          <w:sz w:val="20"/>
          <w:szCs w:val="20"/>
        </w:rPr>
        <w:t xml:space="preserve">et prestations </w:t>
      </w:r>
      <w:r w:rsidRPr="00FA6EF4">
        <w:rPr>
          <w:b/>
          <w:color w:val="262626" w:themeColor="text1" w:themeTint="D9"/>
          <w:sz w:val="20"/>
          <w:szCs w:val="20"/>
        </w:rPr>
        <w:t>relevant d’une logique d’assurance publique ;</w:t>
      </w:r>
    </w:p>
    <w:p w:rsidR="00092712" w:rsidRDefault="00621120" w:rsidP="00C020D6">
      <w:pPr>
        <w:pStyle w:val="Paragraphedeliste"/>
        <w:numPr>
          <w:ilvl w:val="0"/>
          <w:numId w:val="10"/>
        </w:numPr>
        <w:spacing w:after="0" w:line="240" w:lineRule="auto"/>
        <w:ind w:left="1843" w:hanging="425"/>
        <w:contextualSpacing w:val="0"/>
        <w:rPr>
          <w:b/>
          <w:color w:val="262626" w:themeColor="text1" w:themeTint="D9"/>
          <w:sz w:val="20"/>
          <w:szCs w:val="20"/>
        </w:rPr>
      </w:pPr>
      <w:r w:rsidRPr="00FA6EF4">
        <w:rPr>
          <w:b/>
          <w:color w:val="262626" w:themeColor="text1" w:themeTint="D9"/>
          <w:sz w:val="20"/>
          <w:szCs w:val="20"/>
        </w:rPr>
        <w:t>Développer la prévention des risques sanitaires.</w:t>
      </w:r>
    </w:p>
    <w:p w:rsidR="0088518E" w:rsidRPr="00FA6EF4" w:rsidRDefault="0088518E" w:rsidP="0088518E">
      <w:pPr>
        <w:pStyle w:val="Paragraphedeliste"/>
        <w:spacing w:after="0" w:line="240" w:lineRule="auto"/>
        <w:ind w:left="1843"/>
        <w:contextualSpacing w:val="0"/>
        <w:rPr>
          <w:b/>
          <w:color w:val="262626" w:themeColor="text1" w:themeTint="D9"/>
          <w:sz w:val="20"/>
          <w:szCs w:val="20"/>
        </w:rPr>
      </w:pPr>
    </w:p>
    <w:p w:rsidR="00092712" w:rsidRPr="00A03687" w:rsidRDefault="00092712" w:rsidP="00092712">
      <w:pPr>
        <w:pStyle w:val="Textedebase"/>
        <w:ind w:left="0"/>
        <w:rPr>
          <w:color w:val="0D0D0D" w:themeColor="text1" w:themeTint="F2"/>
          <w:sz w:val="12"/>
          <w:szCs w:val="12"/>
        </w:rPr>
      </w:pPr>
    </w:p>
    <w:p w:rsidR="00092712" w:rsidRDefault="00F86138" w:rsidP="00092712">
      <w:pPr>
        <w:pStyle w:val="Textedebase"/>
        <w:spacing w:after="120"/>
        <w:ind w:left="0"/>
        <w:jc w:val="left"/>
        <w:outlineLvl w:val="9"/>
        <w:rPr>
          <w:b/>
        </w:rPr>
      </w:pPr>
      <w:r>
        <w:rPr>
          <w:b/>
          <w:noProof/>
          <w:lang w:eastAsia="fr-FR"/>
        </w:rPr>
        <w:pict>
          <v:shape id="_x0000_s1056" type="#_x0000_t202" style="position:absolute;margin-left:228.35pt;margin-top:21.65pt;width:231.25pt;height:261.85pt;z-index:251700224;mso-width-relative:margin;mso-height-relative:margin" stroked="f">
            <v:textbox>
              <w:txbxContent>
                <w:p w:rsidR="00144D6D" w:rsidRPr="00FA6EF4" w:rsidRDefault="00144D6D" w:rsidP="00A03687">
                  <w:pPr>
                    <w:jc w:val="left"/>
                    <w:rPr>
                      <w:color w:val="262626" w:themeColor="text1" w:themeTint="D9"/>
                      <w:sz w:val="20"/>
                      <w:szCs w:val="20"/>
                    </w:rPr>
                  </w:pPr>
                  <w:r w:rsidRPr="00FA6EF4">
                    <w:rPr>
                      <w:color w:val="262626" w:themeColor="text1" w:themeTint="D9"/>
                      <w:sz w:val="20"/>
                      <w:szCs w:val="20"/>
                    </w:rPr>
                    <w:t xml:space="preserve">Les effets positifs en termes d’économies budgétaires peuvent d’ailleurs ne pas être instantanément observables. A l’inverse, la recherche de l’efficience peut se traduire par une hausse des dépenses de court terme, compensée, en théorie, par d’importantes économies sur le moyen-long terme (soit le contraire du rationnement). </w:t>
                  </w:r>
                </w:p>
                <w:p w:rsidR="00144D6D" w:rsidRPr="00FA6EF4" w:rsidRDefault="00144D6D" w:rsidP="00A03687">
                  <w:pPr>
                    <w:jc w:val="left"/>
                    <w:rPr>
                      <w:color w:val="262626" w:themeColor="text1" w:themeTint="D9"/>
                      <w:sz w:val="20"/>
                      <w:szCs w:val="20"/>
                    </w:rPr>
                  </w:pPr>
                  <w:r w:rsidRPr="00FA6EF4">
                    <w:rPr>
                      <w:color w:val="262626" w:themeColor="text1" w:themeTint="D9"/>
                      <w:sz w:val="20"/>
                      <w:szCs w:val="20"/>
                    </w:rPr>
                    <w:t>La poursuite de l’efficience justifie par exemple le développement de la rémunération à la performance pour les médecins, ou encore le déremboursement de certains actes médicaux et médicaments dont le service médical rendu (SMR) est insuffisant ou non démontré. Parallèlement, l’efficience autorise que l’on accroisse les ressources allouées à la prévention, ainsi qu’aux soins et aux médicaments performants et correctement prescrits.</w:t>
                  </w:r>
                </w:p>
              </w:txbxContent>
            </v:textbox>
          </v:shape>
        </w:pict>
      </w:r>
      <w:r>
        <w:rPr>
          <w:b/>
          <w:noProof/>
        </w:rPr>
        <w:pict>
          <v:shape id="_x0000_s1055" type="#_x0000_t202" style="position:absolute;margin-left:-5.7pt;margin-top:21.65pt;width:226.3pt;height:261.85pt;z-index:251699200;mso-height-percent:200;mso-height-percent:200;mso-width-relative:margin;mso-height-relative:margin" stroked="f">
            <v:textbox style="mso-fit-shape-to-text:t">
              <w:txbxContent>
                <w:p w:rsidR="00144D6D" w:rsidRPr="00FA6EF4" w:rsidRDefault="00144D6D" w:rsidP="00A03687">
                  <w:pPr>
                    <w:pStyle w:val="Textedebase"/>
                    <w:ind w:left="0"/>
                    <w:jc w:val="left"/>
                    <w:outlineLvl w:val="9"/>
                    <w:rPr>
                      <w:szCs w:val="20"/>
                    </w:rPr>
                  </w:pPr>
                  <w:r w:rsidRPr="00FA6EF4">
                    <w:rPr>
                      <w:szCs w:val="20"/>
                    </w:rPr>
                    <w:t>Le rationnement est une stratégie d’économie consistant à réduire de manière volontaire les prix et/ou les quantités d’actes médicaux. C’est une méthode d’économies « directe » qui constitue à court terme une solution de facilité. Cette stratégie peut cependant se traduire par une dégradation de l’état de santé de la population et générer ainsi une augmentation des dépenses de soins à moyen-long terme. Privilégier les économies immédiates par le rationnement n’est donc pas une stratégie efficace dans le temps.</w:t>
                  </w:r>
                </w:p>
                <w:p w:rsidR="00144D6D" w:rsidRPr="00FA6EF4" w:rsidRDefault="00144D6D" w:rsidP="00A03687">
                  <w:pPr>
                    <w:jc w:val="left"/>
                    <w:rPr>
                      <w:color w:val="262626" w:themeColor="text1" w:themeTint="D9"/>
                      <w:sz w:val="20"/>
                      <w:szCs w:val="20"/>
                    </w:rPr>
                  </w:pPr>
                  <w:r w:rsidRPr="00FA6EF4">
                    <w:rPr>
                      <w:color w:val="262626" w:themeColor="text1" w:themeTint="D9"/>
                      <w:sz w:val="20"/>
                      <w:szCs w:val="20"/>
                    </w:rPr>
                    <w:t xml:space="preserve">L’efficience consiste à optimiser la qualité et la gestion des soins sous contrainte de ressources financières. Développer l’efficience du système est une stratégie efficace sur le moyen-long terme pour réaliser des économies mais elle est longue et complexe à mettre en œuvre.  </w:t>
                  </w:r>
                </w:p>
              </w:txbxContent>
            </v:textbox>
          </v:shape>
        </w:pict>
      </w:r>
      <w:r w:rsidR="00092712" w:rsidRPr="00FA6EF4">
        <w:rPr>
          <w:b/>
        </w:rPr>
        <w:t>Accentuer l’efficience des dépenses de soins et non leur rationnemen</w:t>
      </w:r>
      <w:r w:rsidR="00A03687" w:rsidRPr="00FA6EF4">
        <w:rPr>
          <w:b/>
        </w:rPr>
        <w:t>t</w:t>
      </w:r>
    </w:p>
    <w:p w:rsidR="007C781D" w:rsidRDefault="007C781D" w:rsidP="00092712">
      <w:pPr>
        <w:pStyle w:val="Textedebase"/>
        <w:spacing w:after="120"/>
        <w:ind w:left="0"/>
        <w:jc w:val="left"/>
        <w:outlineLvl w:val="9"/>
        <w:rPr>
          <w:b/>
        </w:rPr>
      </w:pPr>
    </w:p>
    <w:p w:rsidR="007C781D" w:rsidRDefault="007C781D" w:rsidP="00092712">
      <w:pPr>
        <w:pStyle w:val="Textedebase"/>
        <w:spacing w:after="120"/>
        <w:ind w:left="0"/>
        <w:jc w:val="left"/>
        <w:outlineLvl w:val="9"/>
        <w:rPr>
          <w:b/>
        </w:rPr>
      </w:pPr>
    </w:p>
    <w:p w:rsidR="007C781D" w:rsidRDefault="007C781D" w:rsidP="00092712">
      <w:pPr>
        <w:pStyle w:val="Textedebase"/>
        <w:spacing w:after="120"/>
        <w:ind w:left="0"/>
        <w:jc w:val="left"/>
        <w:outlineLvl w:val="9"/>
        <w:rPr>
          <w:b/>
        </w:rPr>
      </w:pPr>
    </w:p>
    <w:p w:rsidR="007C781D" w:rsidRDefault="007C781D" w:rsidP="00092712">
      <w:pPr>
        <w:pStyle w:val="Textedebase"/>
        <w:spacing w:after="120"/>
        <w:ind w:left="0"/>
        <w:jc w:val="left"/>
        <w:outlineLvl w:val="9"/>
        <w:rPr>
          <w:b/>
        </w:rPr>
      </w:pPr>
    </w:p>
    <w:p w:rsidR="007C781D" w:rsidRDefault="007C781D" w:rsidP="00092712">
      <w:pPr>
        <w:pStyle w:val="Textedebase"/>
        <w:spacing w:after="120"/>
        <w:ind w:left="0"/>
        <w:jc w:val="left"/>
        <w:outlineLvl w:val="9"/>
        <w:rPr>
          <w:b/>
        </w:rPr>
      </w:pPr>
    </w:p>
    <w:p w:rsidR="007C781D" w:rsidRDefault="007C781D" w:rsidP="00092712">
      <w:pPr>
        <w:pStyle w:val="Textedebase"/>
        <w:spacing w:after="120"/>
        <w:ind w:left="0"/>
        <w:jc w:val="left"/>
        <w:outlineLvl w:val="9"/>
        <w:rPr>
          <w:b/>
        </w:rPr>
      </w:pPr>
    </w:p>
    <w:p w:rsidR="007C781D" w:rsidRDefault="007C781D" w:rsidP="00092712">
      <w:pPr>
        <w:pStyle w:val="Textedebase"/>
        <w:spacing w:after="120"/>
        <w:ind w:left="0"/>
        <w:jc w:val="left"/>
        <w:outlineLvl w:val="9"/>
        <w:rPr>
          <w:b/>
        </w:rPr>
      </w:pPr>
    </w:p>
    <w:p w:rsidR="007C781D" w:rsidRDefault="007C781D" w:rsidP="00092712">
      <w:pPr>
        <w:pStyle w:val="Textedebase"/>
        <w:spacing w:after="120"/>
        <w:ind w:left="0"/>
        <w:jc w:val="left"/>
        <w:outlineLvl w:val="9"/>
        <w:rPr>
          <w:b/>
        </w:rPr>
      </w:pPr>
    </w:p>
    <w:p w:rsidR="007C781D" w:rsidRDefault="007C781D" w:rsidP="00092712">
      <w:pPr>
        <w:pStyle w:val="Textedebase"/>
        <w:spacing w:after="120"/>
        <w:ind w:left="0"/>
        <w:jc w:val="left"/>
        <w:outlineLvl w:val="9"/>
        <w:rPr>
          <w:b/>
        </w:rPr>
      </w:pPr>
    </w:p>
    <w:p w:rsidR="007C781D" w:rsidRDefault="007C781D" w:rsidP="00092712">
      <w:pPr>
        <w:pStyle w:val="Textedebase"/>
        <w:spacing w:after="120"/>
        <w:ind w:left="0"/>
        <w:jc w:val="left"/>
        <w:outlineLvl w:val="9"/>
        <w:rPr>
          <w:b/>
        </w:rPr>
      </w:pPr>
    </w:p>
    <w:p w:rsidR="007C781D" w:rsidRDefault="007C781D" w:rsidP="00092712">
      <w:pPr>
        <w:pStyle w:val="Textedebase"/>
        <w:spacing w:after="120"/>
        <w:ind w:left="0"/>
        <w:jc w:val="left"/>
        <w:outlineLvl w:val="9"/>
        <w:rPr>
          <w:b/>
        </w:rPr>
      </w:pPr>
    </w:p>
    <w:p w:rsidR="007C781D" w:rsidRDefault="007C781D" w:rsidP="00092712">
      <w:pPr>
        <w:pStyle w:val="Textedebase"/>
        <w:spacing w:after="120"/>
        <w:ind w:left="0"/>
        <w:jc w:val="left"/>
        <w:outlineLvl w:val="9"/>
        <w:rPr>
          <w:b/>
        </w:rPr>
      </w:pPr>
    </w:p>
    <w:p w:rsidR="007C781D" w:rsidRDefault="007C781D" w:rsidP="00092712">
      <w:pPr>
        <w:pStyle w:val="Textedebase"/>
        <w:spacing w:after="120"/>
        <w:ind w:left="0"/>
        <w:jc w:val="left"/>
        <w:outlineLvl w:val="9"/>
        <w:rPr>
          <w:b/>
        </w:rPr>
      </w:pPr>
    </w:p>
    <w:p w:rsidR="007C781D" w:rsidRDefault="007C781D" w:rsidP="00092712">
      <w:pPr>
        <w:pStyle w:val="Textedebase"/>
        <w:spacing w:after="120"/>
        <w:ind w:left="0"/>
        <w:jc w:val="left"/>
        <w:outlineLvl w:val="9"/>
        <w:rPr>
          <w:b/>
        </w:rPr>
      </w:pPr>
    </w:p>
    <w:p w:rsidR="0088518E" w:rsidRDefault="00F86138" w:rsidP="00092712">
      <w:pPr>
        <w:pStyle w:val="Textedebase"/>
        <w:spacing w:after="120"/>
        <w:ind w:left="0"/>
        <w:jc w:val="left"/>
        <w:outlineLvl w:val="9"/>
        <w:rPr>
          <w:b/>
        </w:rPr>
      </w:pPr>
      <w:r>
        <w:rPr>
          <w:b/>
          <w:noProof/>
          <w:lang w:eastAsia="fr-FR"/>
        </w:rPr>
        <w:pict>
          <v:rect id="_x0000_s1057" style="position:absolute;margin-left:-51.65pt;margin-top:2.45pt;width:600pt;height:142.55pt;z-index:251701248;v-text-anchor:middle" fillcolor="#f2f2f2 [3052]" strokeweight="1pt">
            <v:stroke dashstyle="1 1" endcap="round"/>
            <v:textbox style="mso-next-textbox:#_x0000_s1057">
              <w:txbxContent>
                <w:p w:rsidR="00144D6D" w:rsidRPr="0008292A" w:rsidRDefault="00144D6D" w:rsidP="00276397">
                  <w:pPr>
                    <w:pStyle w:val="Textedebase"/>
                    <w:ind w:left="992" w:right="176"/>
                    <w:jc w:val="left"/>
                    <w:rPr>
                      <w:b/>
                      <w:sz w:val="18"/>
                      <w:szCs w:val="18"/>
                    </w:rPr>
                  </w:pPr>
                  <w:r w:rsidRPr="009E3627">
                    <w:rPr>
                      <w:color w:val="7A003C"/>
                      <w:sz w:val="18"/>
                      <w:szCs w:val="18"/>
                    </w:rPr>
                    <w:t>Encadré 1.</w:t>
                  </w:r>
                  <w:r w:rsidRPr="009E3627">
                    <w:rPr>
                      <w:color w:val="7A003C"/>
                      <w:sz w:val="18"/>
                      <w:szCs w:val="18"/>
                    </w:rPr>
                    <w:tab/>
                  </w:r>
                  <w:r>
                    <w:rPr>
                      <w:b/>
                      <w:color w:val="0D0D0D" w:themeColor="text1" w:themeTint="F2"/>
                      <w:sz w:val="18"/>
                      <w:szCs w:val="18"/>
                    </w:rPr>
                    <w:t xml:space="preserve"> </w:t>
                  </w:r>
                  <w:r w:rsidRPr="0008292A">
                    <w:rPr>
                      <w:b/>
                      <w:szCs w:val="20"/>
                    </w:rPr>
                    <w:t xml:space="preserve">Exemple d’efficience avec le remboursement de la fécondation </w:t>
                  </w:r>
                  <w:r w:rsidRPr="0008292A">
                    <w:rPr>
                      <w:b/>
                      <w:i/>
                      <w:szCs w:val="20"/>
                    </w:rPr>
                    <w:t>in vitro</w:t>
                  </w:r>
                  <w:r w:rsidRPr="0008292A">
                    <w:rPr>
                      <w:b/>
                      <w:sz w:val="18"/>
                      <w:szCs w:val="18"/>
                    </w:rPr>
                    <w:t xml:space="preserve"> </w:t>
                  </w:r>
                </w:p>
                <w:p w:rsidR="00144D6D" w:rsidRPr="0008292A" w:rsidRDefault="00144D6D" w:rsidP="0088518E">
                  <w:pPr>
                    <w:tabs>
                      <w:tab w:val="left" w:pos="3261"/>
                      <w:tab w:val="left" w:pos="6237"/>
                    </w:tabs>
                    <w:spacing w:after="0" w:line="288" w:lineRule="auto"/>
                    <w:ind w:left="992" w:right="1792"/>
                    <w:rPr>
                      <w:color w:val="262626" w:themeColor="text1" w:themeTint="D9"/>
                      <w:sz w:val="18"/>
                      <w:szCs w:val="18"/>
                    </w:rPr>
                  </w:pPr>
                  <w:r w:rsidRPr="0008292A">
                    <w:rPr>
                      <w:color w:val="262626" w:themeColor="text1" w:themeTint="D9"/>
                      <w:sz w:val="18"/>
                      <w:szCs w:val="18"/>
                    </w:rPr>
                    <w:t xml:space="preserve">Le coût </w:t>
                  </w:r>
                  <w:r>
                    <w:rPr>
                      <w:color w:val="262626" w:themeColor="text1" w:themeTint="D9"/>
                      <w:sz w:val="18"/>
                      <w:szCs w:val="18"/>
                    </w:rPr>
                    <w:t>d’une naissance</w:t>
                  </w:r>
                  <w:r w:rsidRPr="0008292A">
                    <w:rPr>
                      <w:color w:val="262626" w:themeColor="text1" w:themeTint="D9"/>
                      <w:sz w:val="18"/>
                      <w:szCs w:val="18"/>
                    </w:rPr>
                    <w:t xml:space="preserve"> par fécondation </w:t>
                  </w:r>
                  <w:r w:rsidRPr="0008292A">
                    <w:rPr>
                      <w:i/>
                      <w:color w:val="262626" w:themeColor="text1" w:themeTint="D9"/>
                      <w:sz w:val="18"/>
                      <w:szCs w:val="18"/>
                    </w:rPr>
                    <w:t>in vitro</w:t>
                  </w:r>
                  <w:r w:rsidRPr="0008292A">
                    <w:rPr>
                      <w:color w:val="262626" w:themeColor="text1" w:themeTint="D9"/>
                      <w:sz w:val="18"/>
                      <w:szCs w:val="18"/>
                    </w:rPr>
                    <w:t xml:space="preserve"> dépend fortement du taux de réussite. Or, après la ménopause, la probabilité de réussite d’une fécondation </w:t>
                  </w:r>
                  <w:r w:rsidRPr="0008292A">
                    <w:rPr>
                      <w:i/>
                      <w:color w:val="262626" w:themeColor="text1" w:themeTint="D9"/>
                      <w:sz w:val="18"/>
                      <w:szCs w:val="18"/>
                    </w:rPr>
                    <w:t>in vitro</w:t>
                  </w:r>
                  <w:r w:rsidRPr="0008292A">
                    <w:rPr>
                      <w:color w:val="262626" w:themeColor="text1" w:themeTint="D9"/>
                      <w:sz w:val="18"/>
                      <w:szCs w:val="18"/>
                    </w:rPr>
                    <w:t xml:space="preserve"> devient faible tandis que les risques de complications médicales pour la patiente </w:t>
                  </w:r>
                  <w:r>
                    <w:rPr>
                      <w:color w:val="262626" w:themeColor="text1" w:themeTint="D9"/>
                      <w:sz w:val="18"/>
                      <w:szCs w:val="18"/>
                    </w:rPr>
                    <w:t xml:space="preserve">s’accroissent considérablement. En France, les femmes atteintes de ménopause ne peuvent d’ailleurs prétendre à une fécondation </w:t>
                  </w:r>
                  <w:r w:rsidRPr="009650B8">
                    <w:rPr>
                      <w:i/>
                      <w:color w:val="262626" w:themeColor="text1" w:themeTint="D9"/>
                      <w:sz w:val="18"/>
                      <w:szCs w:val="18"/>
                    </w:rPr>
                    <w:t>in vitro</w:t>
                  </w:r>
                  <w:r>
                    <w:rPr>
                      <w:color w:val="262626" w:themeColor="text1" w:themeTint="D9"/>
                      <w:sz w:val="18"/>
                      <w:szCs w:val="18"/>
                    </w:rPr>
                    <w:t xml:space="preserve"> que si leur ménopause est précoce. </w:t>
                  </w:r>
                  <w:r w:rsidRPr="0008292A">
                    <w:rPr>
                      <w:color w:val="262626" w:themeColor="text1" w:themeTint="D9"/>
                      <w:sz w:val="18"/>
                      <w:szCs w:val="18"/>
                    </w:rPr>
                    <w:t xml:space="preserve">Dans ce cas de figure, le coût pour la </w:t>
                  </w:r>
                  <w:r>
                    <w:rPr>
                      <w:color w:val="262626" w:themeColor="text1" w:themeTint="D9"/>
                      <w:sz w:val="18"/>
                      <w:szCs w:val="18"/>
                    </w:rPr>
                    <w:t>Sécurité sociale</w:t>
                  </w:r>
                  <w:r w:rsidRPr="0008292A">
                    <w:rPr>
                      <w:color w:val="262626" w:themeColor="text1" w:themeTint="D9"/>
                      <w:sz w:val="18"/>
                      <w:szCs w:val="18"/>
                    </w:rPr>
                    <w:t xml:space="preserve"> est </w:t>
                  </w:r>
                  <w:r w:rsidRPr="00622088">
                    <w:rPr>
                      <w:color w:val="262626" w:themeColor="text1" w:themeTint="D9"/>
                      <w:sz w:val="18"/>
                      <w:szCs w:val="18"/>
                    </w:rPr>
                    <w:t xml:space="preserve">potentiellement important. Le critère d’efficience justifie alors </w:t>
                  </w:r>
                  <w:proofErr w:type="gramStart"/>
                  <w:r w:rsidRPr="00622088">
                    <w:rPr>
                      <w:color w:val="262626" w:themeColor="text1" w:themeTint="D9"/>
                      <w:sz w:val="18"/>
                      <w:szCs w:val="18"/>
                    </w:rPr>
                    <w:t>la</w:t>
                  </w:r>
                  <w:proofErr w:type="gramEnd"/>
                  <w:r w:rsidRPr="00622088">
                    <w:rPr>
                      <w:color w:val="262626" w:themeColor="text1" w:themeTint="D9"/>
                      <w:sz w:val="18"/>
                      <w:szCs w:val="18"/>
                    </w:rPr>
                    <w:t xml:space="preserve"> non prise en charge par l’Assurance maladie de la fécondation </w:t>
                  </w:r>
                  <w:r w:rsidRPr="00622088">
                    <w:rPr>
                      <w:i/>
                      <w:color w:val="262626" w:themeColor="text1" w:themeTint="D9"/>
                      <w:sz w:val="18"/>
                      <w:szCs w:val="18"/>
                    </w:rPr>
                    <w:t>in vitro</w:t>
                  </w:r>
                  <w:r w:rsidRPr="00622088">
                    <w:rPr>
                      <w:color w:val="262626" w:themeColor="text1" w:themeTint="D9"/>
                      <w:sz w:val="18"/>
                      <w:szCs w:val="18"/>
                    </w:rPr>
                    <w:t xml:space="preserve"> après la ménopause. </w:t>
                  </w:r>
                  <w:r w:rsidR="00622088" w:rsidRPr="00622088">
                    <w:rPr>
                      <w:rFonts w:cs="Arial"/>
                      <w:color w:val="262626" w:themeColor="text1" w:themeTint="D9"/>
                      <w:sz w:val="18"/>
                      <w:szCs w:val="18"/>
                    </w:rPr>
                    <w:t>La loi  n° 2004-800 du 6 août 2004 relative à la bioéthique indique que les parents doivent être en âge de procréer. Après la ménopause il faut donc aller à l'étranger.</w:t>
                  </w:r>
                  <w:r w:rsidR="00622088">
                    <w:t xml:space="preserve"> </w:t>
                  </w:r>
                  <w:r w:rsidR="00622088">
                    <w:br/>
                  </w:r>
                </w:p>
              </w:txbxContent>
            </v:textbox>
          </v:rect>
        </w:pict>
      </w:r>
    </w:p>
    <w:p w:rsidR="007C781D" w:rsidRDefault="007C781D" w:rsidP="00092712">
      <w:pPr>
        <w:pStyle w:val="Textedebase"/>
        <w:spacing w:after="120"/>
        <w:ind w:left="0"/>
        <w:jc w:val="left"/>
        <w:outlineLvl w:val="9"/>
        <w:rPr>
          <w:b/>
        </w:rPr>
      </w:pPr>
    </w:p>
    <w:p w:rsidR="007C781D" w:rsidRDefault="007C781D" w:rsidP="00092712">
      <w:pPr>
        <w:pStyle w:val="Textedebase"/>
        <w:spacing w:after="120"/>
        <w:ind w:left="0"/>
        <w:jc w:val="left"/>
        <w:outlineLvl w:val="9"/>
        <w:rPr>
          <w:b/>
        </w:rPr>
      </w:pPr>
    </w:p>
    <w:p w:rsidR="007C781D" w:rsidRDefault="007C781D" w:rsidP="00092712">
      <w:pPr>
        <w:pStyle w:val="Textedebase"/>
        <w:spacing w:after="120"/>
        <w:ind w:left="0"/>
        <w:jc w:val="left"/>
        <w:outlineLvl w:val="9"/>
        <w:rPr>
          <w:b/>
        </w:rPr>
      </w:pPr>
    </w:p>
    <w:p w:rsidR="007C781D" w:rsidRDefault="007C781D" w:rsidP="00092712">
      <w:pPr>
        <w:pStyle w:val="Textedebase"/>
        <w:spacing w:after="120"/>
        <w:ind w:left="0"/>
        <w:jc w:val="left"/>
        <w:outlineLvl w:val="9"/>
        <w:rPr>
          <w:b/>
        </w:rPr>
      </w:pPr>
    </w:p>
    <w:p w:rsidR="007C781D" w:rsidRDefault="007C781D" w:rsidP="00092712">
      <w:pPr>
        <w:pStyle w:val="Textedebase"/>
        <w:spacing w:after="120"/>
        <w:ind w:left="0"/>
        <w:jc w:val="left"/>
        <w:outlineLvl w:val="9"/>
        <w:rPr>
          <w:b/>
        </w:rPr>
      </w:pPr>
    </w:p>
    <w:p w:rsidR="007C781D" w:rsidRDefault="007C781D" w:rsidP="00092712">
      <w:pPr>
        <w:pStyle w:val="Textedebase"/>
        <w:spacing w:after="120"/>
        <w:ind w:left="0"/>
        <w:jc w:val="left"/>
        <w:outlineLvl w:val="9"/>
        <w:rPr>
          <w:b/>
        </w:rPr>
      </w:pPr>
    </w:p>
    <w:p w:rsidR="007C781D" w:rsidRDefault="007C781D" w:rsidP="00092712">
      <w:pPr>
        <w:pStyle w:val="Textedebase"/>
        <w:spacing w:after="120"/>
        <w:ind w:left="0"/>
        <w:jc w:val="left"/>
        <w:outlineLvl w:val="9"/>
        <w:rPr>
          <w:b/>
        </w:rPr>
      </w:pPr>
    </w:p>
    <w:p w:rsidR="007C781D" w:rsidRDefault="007C781D" w:rsidP="00092712">
      <w:pPr>
        <w:pStyle w:val="Textedebase"/>
        <w:spacing w:after="120"/>
        <w:ind w:left="0"/>
        <w:jc w:val="left"/>
        <w:outlineLvl w:val="9"/>
        <w:rPr>
          <w:b/>
        </w:rPr>
      </w:pPr>
    </w:p>
    <w:p w:rsidR="007C781D" w:rsidRPr="00FA6EF4" w:rsidRDefault="007C781D" w:rsidP="00092712">
      <w:pPr>
        <w:pStyle w:val="Textedebase"/>
        <w:spacing w:after="120"/>
        <w:ind w:left="0"/>
        <w:jc w:val="left"/>
        <w:outlineLvl w:val="9"/>
        <w:rPr>
          <w:b/>
        </w:rPr>
        <w:sectPr w:rsidR="007C781D" w:rsidRPr="00FA6EF4" w:rsidSect="00415E08">
          <w:type w:val="continuous"/>
          <w:pgSz w:w="11906" w:h="16838"/>
          <w:pgMar w:top="1928" w:right="1418" w:bottom="1135" w:left="993" w:header="709" w:footer="709" w:gutter="0"/>
          <w:cols w:space="708"/>
          <w:docGrid w:linePitch="360"/>
        </w:sectPr>
      </w:pPr>
    </w:p>
    <w:p w:rsidR="006C5965" w:rsidRPr="0008292A" w:rsidRDefault="00D26A02" w:rsidP="00A03687">
      <w:pPr>
        <w:spacing w:after="240" w:line="240" w:lineRule="auto"/>
        <w:rPr>
          <w:b/>
          <w:color w:val="262626" w:themeColor="text1" w:themeTint="D9"/>
          <w:szCs w:val="21"/>
        </w:rPr>
      </w:pPr>
      <w:r w:rsidRPr="0008292A">
        <w:rPr>
          <w:b/>
          <w:color w:val="262626" w:themeColor="text1" w:themeTint="D9"/>
          <w:szCs w:val="21"/>
        </w:rPr>
        <w:lastRenderedPageBreak/>
        <w:t>Diversifier les sources de financement</w:t>
      </w:r>
    </w:p>
    <w:p w:rsidR="007C781D" w:rsidRPr="0008292A" w:rsidRDefault="007C781D" w:rsidP="005C0B0E">
      <w:pPr>
        <w:pStyle w:val="Textedebase"/>
        <w:spacing w:after="100"/>
        <w:ind w:left="0"/>
        <w:sectPr w:rsidR="007C781D" w:rsidRPr="0008292A" w:rsidSect="00415E08">
          <w:type w:val="continuous"/>
          <w:pgSz w:w="11906" w:h="16838"/>
          <w:pgMar w:top="1928" w:right="1418" w:bottom="1135" w:left="993" w:header="709" w:footer="709" w:gutter="0"/>
          <w:cols w:space="708"/>
          <w:docGrid w:linePitch="360"/>
        </w:sectPr>
      </w:pPr>
    </w:p>
    <w:p w:rsidR="005C0B0E" w:rsidRPr="0008292A" w:rsidRDefault="005C0B0E" w:rsidP="00A03687">
      <w:pPr>
        <w:pStyle w:val="Textedebase"/>
        <w:spacing w:after="120"/>
        <w:ind w:left="0"/>
        <w:jc w:val="left"/>
      </w:pPr>
      <w:r w:rsidRPr="0008292A">
        <w:lastRenderedPageBreak/>
        <w:t xml:space="preserve">En France, le financement de </w:t>
      </w:r>
      <w:r w:rsidR="00FE74EB">
        <w:t>l’Etat-Providence</w:t>
      </w:r>
      <w:r w:rsidR="00514A95" w:rsidRPr="0008292A">
        <w:t xml:space="preserve"> repose </w:t>
      </w:r>
      <w:r w:rsidR="00FE74EB">
        <w:t>en grande partie</w:t>
      </w:r>
      <w:r w:rsidRPr="0008292A">
        <w:t xml:space="preserve"> sur le travail, </w:t>
      </w:r>
      <w:r w:rsidRPr="0008292A">
        <w:rPr>
          <w:i/>
        </w:rPr>
        <w:t>via</w:t>
      </w:r>
      <w:r w:rsidRPr="0008292A">
        <w:t xml:space="preserve"> les cotisations patronales et salariales. Les recettes de la protection sociale sont de ce fait particulièrement sensibles à la situation sur le marché du travail. Or, si ce mode de financement était pertinent durant les Trente Glorieuses, aujourd’hui, il ne l’est plus. </w:t>
      </w:r>
    </w:p>
    <w:p w:rsidR="00D663E4" w:rsidRPr="0008292A" w:rsidRDefault="005C0B0E" w:rsidP="00A03687">
      <w:pPr>
        <w:pStyle w:val="Textedebase"/>
        <w:spacing w:after="120"/>
        <w:ind w:left="0"/>
        <w:jc w:val="left"/>
      </w:pPr>
      <w:r w:rsidRPr="0008292A">
        <w:t>Durant les années q</w:t>
      </w:r>
      <w:r w:rsidR="009676AD">
        <w:t>ui ont suivi la création de la Sécurité sociale</w:t>
      </w:r>
      <w:r w:rsidRPr="0008292A">
        <w:t xml:space="preserve"> en 1945, le marché du travail était en situation de plein emploi, la masse salariale progressait rapidement, le coût des soins médicaux était modéré et l’endettement public était faible et maitrisé. Aujourd’hui, plus aucune de ces conditions n’est vérifiée. </w:t>
      </w:r>
    </w:p>
    <w:p w:rsidR="00D663E4" w:rsidRPr="0008292A" w:rsidRDefault="00514A95" w:rsidP="00E21FEC">
      <w:pPr>
        <w:pStyle w:val="Textedebase"/>
        <w:spacing w:after="120"/>
        <w:ind w:left="0"/>
        <w:jc w:val="left"/>
      </w:pPr>
      <w:r w:rsidRPr="0008292A">
        <w:t xml:space="preserve">Aujourd’hui, la France souffre d’un chômage de masse persistant (10% de la population active au premier semestre 2012) et les salaires progressent en conséquence lentement. Ces conditions impactent négativement les recettes sociales. Parallèlement, le coût unitaire des techniques médicales s’accroît sous </w:t>
      </w:r>
      <w:r w:rsidRPr="0008292A">
        <w:lastRenderedPageBreak/>
        <w:t xml:space="preserve">l’effet des innovations, ce qui contribue à tirer les dépenses de santé. </w:t>
      </w:r>
      <w:r w:rsidR="009650B8">
        <w:t>U</w:t>
      </w:r>
      <w:r w:rsidRPr="0008292A">
        <w:t xml:space="preserve">ne revalorisation des cotisations sociales n’est </w:t>
      </w:r>
      <w:r w:rsidR="009676AD">
        <w:t>toutefois</w:t>
      </w:r>
      <w:r w:rsidRPr="0008292A">
        <w:t xml:space="preserve"> pas une stratégie à envisager car </w:t>
      </w:r>
      <w:r w:rsidR="009676AD">
        <w:t>celle-ci</w:t>
      </w:r>
      <w:r w:rsidRPr="0008292A">
        <w:t xml:space="preserve"> </w:t>
      </w:r>
      <w:r w:rsidR="00D663E4" w:rsidRPr="0008292A">
        <w:t xml:space="preserve">aurait un coût non </w:t>
      </w:r>
      <w:r w:rsidRPr="0008292A">
        <w:t>négligeable en termes d’emplois.</w:t>
      </w:r>
      <w:r w:rsidR="00CB7F50" w:rsidRPr="0008292A">
        <w:t xml:space="preserve"> </w:t>
      </w:r>
    </w:p>
    <w:p w:rsidR="00CB7F50" w:rsidRPr="0008292A" w:rsidRDefault="00CB7F50" w:rsidP="00E21FEC">
      <w:pPr>
        <w:pStyle w:val="Textedebase"/>
        <w:spacing w:after="120"/>
        <w:ind w:left="0"/>
        <w:jc w:val="left"/>
      </w:pPr>
      <w:r w:rsidRPr="0008292A">
        <w:t>Avec un</w:t>
      </w:r>
      <w:r w:rsidR="00E21FEC" w:rsidRPr="0008292A">
        <w:t xml:space="preserve"> taux de</w:t>
      </w:r>
      <w:r w:rsidR="00621120" w:rsidRPr="0008292A">
        <w:t xml:space="preserve"> prélèvements obligatoires </w:t>
      </w:r>
      <w:r w:rsidRPr="0008292A">
        <w:t xml:space="preserve">de </w:t>
      </w:r>
      <w:r w:rsidR="00E21FEC" w:rsidRPr="0008292A">
        <w:t>43</w:t>
      </w:r>
      <w:r w:rsidR="00621120" w:rsidRPr="0008292A">
        <w:t xml:space="preserve">,9% du PIB </w:t>
      </w:r>
      <w:r w:rsidR="00E21FEC" w:rsidRPr="0008292A">
        <w:t>en 2011 (source : Insee)</w:t>
      </w:r>
      <w:r w:rsidRPr="0008292A">
        <w:t xml:space="preserve">, la France </w:t>
      </w:r>
      <w:r w:rsidR="00621120" w:rsidRPr="0008292A">
        <w:t xml:space="preserve">est l’un des </w:t>
      </w:r>
      <w:r w:rsidRPr="0008292A">
        <w:t xml:space="preserve">pays où la fiscalité est la plus élevée au monde. Or, dans un environnement </w:t>
      </w:r>
      <w:r w:rsidR="003C238C" w:rsidRPr="0008292A">
        <w:t xml:space="preserve">de concurrence </w:t>
      </w:r>
      <w:r w:rsidR="00D663E4" w:rsidRPr="0008292A">
        <w:t xml:space="preserve">commerciale et </w:t>
      </w:r>
      <w:r w:rsidR="003C238C" w:rsidRPr="0008292A">
        <w:t xml:space="preserve">fiscale globalisée, </w:t>
      </w:r>
      <w:r w:rsidRPr="0008292A">
        <w:t xml:space="preserve">un tel niveau </w:t>
      </w:r>
      <w:r w:rsidR="0011642B" w:rsidRPr="0008292A">
        <w:t xml:space="preserve">d’impôt n’est économiquement pas neutre sur la production et l’emploi </w:t>
      </w:r>
      <w:r w:rsidR="00E21FEC" w:rsidRPr="0008292A">
        <w:t>d’un pays</w:t>
      </w:r>
      <w:r w:rsidRPr="0008292A">
        <w:t xml:space="preserve">. </w:t>
      </w:r>
    </w:p>
    <w:p w:rsidR="00276397" w:rsidRDefault="00CB7F50" w:rsidP="009676AD">
      <w:pPr>
        <w:pStyle w:val="Textedebase"/>
        <w:spacing w:after="120"/>
        <w:ind w:left="0"/>
        <w:jc w:val="left"/>
        <w:sectPr w:rsidR="00276397" w:rsidSect="00276397">
          <w:type w:val="continuous"/>
          <w:pgSz w:w="11906" w:h="16838"/>
          <w:pgMar w:top="1928" w:right="1418" w:bottom="1135" w:left="993" w:header="709" w:footer="709" w:gutter="0"/>
          <w:cols w:num="2" w:space="708"/>
          <w:docGrid w:linePitch="360"/>
        </w:sectPr>
      </w:pPr>
      <w:r w:rsidRPr="0008292A">
        <w:t>L</w:t>
      </w:r>
      <w:r w:rsidR="005C0B0E" w:rsidRPr="0008292A">
        <w:t xml:space="preserve">e </w:t>
      </w:r>
      <w:r w:rsidRPr="0008292A">
        <w:t>taux</w:t>
      </w:r>
      <w:r w:rsidR="005C0B0E" w:rsidRPr="0008292A">
        <w:t xml:space="preserve"> actuel des cotisations sociales </w:t>
      </w:r>
      <w:r w:rsidR="0011642B" w:rsidRPr="0008292A">
        <w:t>alourdit</w:t>
      </w:r>
      <w:r w:rsidR="005C0B0E" w:rsidRPr="0008292A">
        <w:t xml:space="preserve"> sensiblement </w:t>
      </w:r>
      <w:r w:rsidR="00621120" w:rsidRPr="0008292A">
        <w:t xml:space="preserve">le coût du travail et </w:t>
      </w:r>
      <w:r w:rsidR="009B176A">
        <w:t>il est l’un des facteurs qui peuvent affaiblir</w:t>
      </w:r>
      <w:r w:rsidRPr="0008292A">
        <w:t xml:space="preserve"> </w:t>
      </w:r>
      <w:r w:rsidR="00621120" w:rsidRPr="0008292A">
        <w:t>la compétitivité</w:t>
      </w:r>
      <w:r w:rsidR="0011642B" w:rsidRPr="0008292A">
        <w:t>-prix</w:t>
      </w:r>
      <w:r w:rsidR="00621120" w:rsidRPr="0008292A">
        <w:t xml:space="preserve"> des entreprises. </w:t>
      </w:r>
      <w:r w:rsidR="005C0B0E" w:rsidRPr="0008292A">
        <w:t xml:space="preserve">Le coût du travail est d’ailleurs l’une des </w:t>
      </w:r>
      <w:r w:rsidR="00621120" w:rsidRPr="0008292A">
        <w:t xml:space="preserve">causes de la persistance </w:t>
      </w:r>
      <w:r w:rsidRPr="0008292A">
        <w:t>du</w:t>
      </w:r>
      <w:r w:rsidR="00621120" w:rsidRPr="0008292A">
        <w:t xml:space="preserve"> chômage de masse</w:t>
      </w:r>
      <w:r w:rsidR="0011642B" w:rsidRPr="0008292A">
        <w:t xml:space="preserve"> en France</w:t>
      </w:r>
      <w:r w:rsidR="00621120" w:rsidRPr="0008292A">
        <w:t xml:space="preserve">. </w:t>
      </w:r>
      <w:r w:rsidRPr="0008292A">
        <w:t>Il n’apparaît</w:t>
      </w:r>
      <w:r w:rsidR="0011642B" w:rsidRPr="0008292A">
        <w:t xml:space="preserve"> </w:t>
      </w:r>
      <w:r w:rsidRPr="0008292A">
        <w:t xml:space="preserve">donc </w:t>
      </w:r>
      <w:r w:rsidR="0011642B" w:rsidRPr="0008292A">
        <w:t xml:space="preserve">pas </w:t>
      </w:r>
      <w:r w:rsidRPr="0008292A">
        <w:t>judicieux</w:t>
      </w:r>
      <w:r w:rsidR="0011642B" w:rsidRPr="0008292A">
        <w:t xml:space="preserve"> de </w:t>
      </w:r>
      <w:r w:rsidRPr="0008292A">
        <w:t>relever davantage</w:t>
      </w:r>
      <w:r w:rsidR="009676AD">
        <w:t xml:space="preserve"> les cotisations sociales supportées par les entreprises.</w:t>
      </w:r>
    </w:p>
    <w:p w:rsidR="008A7365" w:rsidRDefault="008A7365" w:rsidP="00621120">
      <w:pPr>
        <w:pStyle w:val="Textedebase"/>
        <w:ind w:left="0"/>
      </w:pPr>
    </w:p>
    <w:p w:rsidR="00276397" w:rsidRDefault="00276397" w:rsidP="00621120">
      <w:pPr>
        <w:pStyle w:val="Textedebase"/>
        <w:ind w:left="0"/>
      </w:pPr>
    </w:p>
    <w:p w:rsidR="00276397" w:rsidRDefault="00F86138" w:rsidP="00621120">
      <w:pPr>
        <w:pStyle w:val="Textedebase"/>
        <w:ind w:left="0"/>
      </w:pPr>
      <w:r>
        <w:rPr>
          <w:noProof/>
          <w:lang w:eastAsia="fr-FR"/>
        </w:rPr>
        <w:pict>
          <v:shape id="_x0000_s1058" type="#_x0000_t202" style="position:absolute;left:0;text-align:left;margin-left:-3.45pt;margin-top:.5pt;width:345.3pt;height:35.25pt;z-index:251702272;mso-width-relative:margin;mso-height-relative:margin" filled="f" stroked="f">
            <v:textbox>
              <w:txbxContent>
                <w:p w:rsidR="00144D6D" w:rsidRDefault="00144D6D" w:rsidP="00276397">
                  <w:pPr>
                    <w:tabs>
                      <w:tab w:val="left" w:pos="993"/>
                    </w:tabs>
                    <w:spacing w:after="0" w:line="240" w:lineRule="auto"/>
                    <w:jc w:val="left"/>
                    <w:rPr>
                      <w:color w:val="7A003C"/>
                      <w:sz w:val="18"/>
                      <w:szCs w:val="18"/>
                    </w:rPr>
                  </w:pPr>
                  <w:r>
                    <w:rPr>
                      <w:color w:val="7A003C"/>
                      <w:sz w:val="18"/>
                      <w:szCs w:val="18"/>
                    </w:rPr>
                    <w:t>Graph 13</w:t>
                  </w:r>
                  <w:r w:rsidRPr="00987897">
                    <w:rPr>
                      <w:color w:val="7A003C"/>
                      <w:sz w:val="18"/>
                      <w:szCs w:val="18"/>
                    </w:rPr>
                    <w:t>.</w:t>
                  </w:r>
                  <w:r>
                    <w:rPr>
                      <w:color w:val="7A003C"/>
                      <w:sz w:val="18"/>
                      <w:szCs w:val="18"/>
                    </w:rPr>
                    <w:tab/>
                  </w:r>
                  <w:r>
                    <w:rPr>
                      <w:b/>
                      <w:color w:val="262626" w:themeColor="text1" w:themeTint="D9"/>
                      <w:sz w:val="20"/>
                      <w:szCs w:val="20"/>
                    </w:rPr>
                    <w:t>Taux de prélèvements obligatoires dans les pays de l’OCDE</w:t>
                  </w:r>
                </w:p>
                <w:p w:rsidR="00144D6D" w:rsidRPr="00987897" w:rsidRDefault="00144D6D" w:rsidP="00276397">
                  <w:pPr>
                    <w:tabs>
                      <w:tab w:val="left" w:pos="993"/>
                    </w:tabs>
                    <w:spacing w:after="0" w:line="240" w:lineRule="auto"/>
                    <w:ind w:firstLine="708"/>
                    <w:jc w:val="left"/>
                    <w:rPr>
                      <w:i/>
                      <w:color w:val="262626" w:themeColor="text1" w:themeTint="D9"/>
                      <w:sz w:val="18"/>
                      <w:szCs w:val="18"/>
                    </w:rPr>
                  </w:pPr>
                  <w:r>
                    <w:rPr>
                      <w:color w:val="7A003C"/>
                      <w:sz w:val="18"/>
                      <w:szCs w:val="18"/>
                    </w:rPr>
                    <w:tab/>
                  </w:r>
                  <w:r>
                    <w:rPr>
                      <w:i/>
                      <w:color w:val="262626" w:themeColor="text1" w:themeTint="D9"/>
                      <w:sz w:val="18"/>
                      <w:szCs w:val="18"/>
                    </w:rPr>
                    <w:t>En pourcentage du PIB ; en 2010</w:t>
                  </w:r>
                </w:p>
                <w:p w:rsidR="00144D6D" w:rsidRPr="00987897" w:rsidRDefault="00144D6D" w:rsidP="00276397">
                  <w:pPr>
                    <w:rPr>
                      <w:color w:val="7A003C"/>
                      <w:sz w:val="18"/>
                      <w:szCs w:val="18"/>
                    </w:rPr>
                  </w:pPr>
                </w:p>
              </w:txbxContent>
            </v:textbox>
          </v:shape>
        </w:pict>
      </w:r>
    </w:p>
    <w:p w:rsidR="00276397" w:rsidRDefault="00DF1E17" w:rsidP="00621120">
      <w:pPr>
        <w:pStyle w:val="Textedebase"/>
        <w:ind w:left="0"/>
      </w:pPr>
      <w:r>
        <w:rPr>
          <w:noProof/>
          <w:lang w:eastAsia="fr-FR"/>
        </w:rPr>
        <w:drawing>
          <wp:anchor distT="0" distB="0" distL="114300" distR="114300" simplePos="0" relativeHeight="251704320" behindDoc="0" locked="0" layoutInCell="1" allowOverlap="1">
            <wp:simplePos x="0" y="0"/>
            <wp:positionH relativeFrom="column">
              <wp:posOffset>0</wp:posOffset>
            </wp:positionH>
            <wp:positionV relativeFrom="paragraph">
              <wp:posOffset>116840</wp:posOffset>
            </wp:positionV>
            <wp:extent cx="6085205" cy="2538095"/>
            <wp:effectExtent l="0" t="0" r="0" b="0"/>
            <wp:wrapNone/>
            <wp:docPr id="28"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11642B" w:rsidRPr="005C0B0E" w:rsidRDefault="0011642B" w:rsidP="0011642B">
      <w:pPr>
        <w:spacing w:after="0" w:line="240" w:lineRule="auto"/>
        <w:jc w:val="left"/>
        <w:rPr>
          <w:color w:val="auto"/>
          <w:sz w:val="23"/>
          <w:szCs w:val="23"/>
        </w:rPr>
      </w:pPr>
    </w:p>
    <w:p w:rsidR="0011642B" w:rsidRDefault="0011642B" w:rsidP="00621120">
      <w:pPr>
        <w:pStyle w:val="Textedebase"/>
        <w:ind w:left="0"/>
      </w:pPr>
    </w:p>
    <w:p w:rsidR="000A513D" w:rsidRDefault="000A513D" w:rsidP="00621120">
      <w:pPr>
        <w:pStyle w:val="Textedebase"/>
        <w:ind w:left="0"/>
      </w:pPr>
    </w:p>
    <w:p w:rsidR="000A513D" w:rsidRDefault="000A513D" w:rsidP="00621120">
      <w:pPr>
        <w:pStyle w:val="Textedebase"/>
        <w:ind w:left="0"/>
      </w:pPr>
    </w:p>
    <w:p w:rsidR="000A513D" w:rsidRDefault="000A513D" w:rsidP="00621120">
      <w:pPr>
        <w:pStyle w:val="Textedebase"/>
        <w:ind w:left="0"/>
      </w:pPr>
    </w:p>
    <w:p w:rsidR="00A03687" w:rsidRDefault="00A03687" w:rsidP="005A1022">
      <w:pPr>
        <w:spacing w:after="120"/>
        <w:rPr>
          <w:color w:val="262626" w:themeColor="text1" w:themeTint="D9"/>
          <w:sz w:val="20"/>
          <w:szCs w:val="21"/>
        </w:rPr>
      </w:pPr>
    </w:p>
    <w:p w:rsidR="00A03687" w:rsidRDefault="00A03687" w:rsidP="005A1022">
      <w:pPr>
        <w:spacing w:after="120"/>
        <w:rPr>
          <w:color w:val="262626" w:themeColor="text1" w:themeTint="D9"/>
          <w:sz w:val="20"/>
          <w:szCs w:val="21"/>
        </w:rPr>
      </w:pPr>
    </w:p>
    <w:p w:rsidR="00A03687" w:rsidRDefault="00A03687" w:rsidP="005A1022">
      <w:pPr>
        <w:spacing w:after="120"/>
        <w:rPr>
          <w:color w:val="262626" w:themeColor="text1" w:themeTint="D9"/>
          <w:sz w:val="20"/>
          <w:szCs w:val="21"/>
        </w:rPr>
      </w:pPr>
    </w:p>
    <w:p w:rsidR="00A03687" w:rsidRDefault="00A03687" w:rsidP="005A1022">
      <w:pPr>
        <w:spacing w:after="120"/>
        <w:rPr>
          <w:color w:val="auto"/>
          <w:sz w:val="20"/>
          <w:szCs w:val="20"/>
        </w:rPr>
        <w:sectPr w:rsidR="00A03687" w:rsidSect="00415E08">
          <w:type w:val="continuous"/>
          <w:pgSz w:w="11906" w:h="16838"/>
          <w:pgMar w:top="1928" w:right="1418" w:bottom="1135" w:left="993" w:header="709" w:footer="709" w:gutter="0"/>
          <w:cols w:space="708"/>
          <w:docGrid w:linePitch="360"/>
        </w:sectPr>
      </w:pPr>
    </w:p>
    <w:p w:rsidR="00316A61" w:rsidRDefault="00F86138" w:rsidP="00A03687">
      <w:pPr>
        <w:spacing w:after="120"/>
        <w:jc w:val="left"/>
        <w:rPr>
          <w:color w:val="262626" w:themeColor="text1" w:themeTint="D9"/>
          <w:sz w:val="20"/>
          <w:szCs w:val="20"/>
        </w:rPr>
      </w:pPr>
      <w:r>
        <w:rPr>
          <w:noProof/>
          <w:color w:val="auto"/>
          <w:sz w:val="23"/>
          <w:szCs w:val="23"/>
          <w:lang w:eastAsia="fr-FR"/>
        </w:rPr>
        <w:lastRenderedPageBreak/>
        <w:pict>
          <v:shape id="_x0000_s1059" type="#_x0000_t202" style="position:absolute;margin-left:9.4pt;margin-top:10.95pt;width:189pt;height:18.75pt;z-index:251703296;mso-width-relative:margin;mso-height-relative:margin;v-text-anchor:middle" filled="f" stroked="f">
            <v:textbox style="mso-next-textbox:#_x0000_s1059">
              <w:txbxContent>
                <w:p w:rsidR="00144D6D" w:rsidRPr="000B731A" w:rsidRDefault="00144D6D" w:rsidP="00A03687">
                  <w:pPr>
                    <w:spacing w:after="0" w:line="240" w:lineRule="auto"/>
                    <w:jc w:val="left"/>
                    <w:rPr>
                      <w:color w:val="262626" w:themeColor="text1" w:themeTint="D9"/>
                      <w:sz w:val="18"/>
                      <w:szCs w:val="18"/>
                      <w:lang w:val="en-US"/>
                    </w:rPr>
                  </w:pPr>
                  <w:proofErr w:type="gramStart"/>
                  <w:r w:rsidRPr="000B731A">
                    <w:rPr>
                      <w:color w:val="262626" w:themeColor="text1" w:themeTint="D9"/>
                      <w:sz w:val="18"/>
                      <w:szCs w:val="18"/>
                      <w:lang w:val="en-US"/>
                    </w:rPr>
                    <w:t>Source</w:t>
                  </w:r>
                  <w:r>
                    <w:rPr>
                      <w:color w:val="262626" w:themeColor="text1" w:themeTint="D9"/>
                      <w:sz w:val="18"/>
                      <w:szCs w:val="18"/>
                      <w:lang w:val="en-US"/>
                    </w:rPr>
                    <w:t xml:space="preserve"> </w:t>
                  </w:r>
                  <w:r w:rsidRPr="000B731A">
                    <w:rPr>
                      <w:color w:val="262626" w:themeColor="text1" w:themeTint="D9"/>
                      <w:sz w:val="18"/>
                      <w:szCs w:val="18"/>
                      <w:lang w:val="en-US"/>
                    </w:rPr>
                    <w:t>:</w:t>
                  </w:r>
                  <w:proofErr w:type="gramEnd"/>
                  <w:r w:rsidRPr="000B731A">
                    <w:rPr>
                      <w:color w:val="262626" w:themeColor="text1" w:themeTint="D9"/>
                      <w:sz w:val="18"/>
                      <w:szCs w:val="18"/>
                      <w:lang w:val="en-US"/>
                    </w:rPr>
                    <w:t xml:space="preserve"> OCDE </w:t>
                  </w:r>
                </w:p>
              </w:txbxContent>
            </v:textbox>
          </v:shape>
        </w:pict>
      </w:r>
    </w:p>
    <w:p w:rsidR="00316A61" w:rsidRDefault="00316A61" w:rsidP="00A03687">
      <w:pPr>
        <w:spacing w:after="120"/>
        <w:jc w:val="left"/>
        <w:rPr>
          <w:color w:val="262626" w:themeColor="text1" w:themeTint="D9"/>
          <w:sz w:val="20"/>
          <w:szCs w:val="20"/>
        </w:rPr>
      </w:pPr>
    </w:p>
    <w:p w:rsidR="00316A61" w:rsidRDefault="00316A61" w:rsidP="00A03687">
      <w:pPr>
        <w:spacing w:after="120"/>
        <w:jc w:val="left"/>
        <w:rPr>
          <w:color w:val="262626" w:themeColor="text1" w:themeTint="D9"/>
          <w:sz w:val="20"/>
          <w:szCs w:val="20"/>
        </w:rPr>
      </w:pPr>
    </w:p>
    <w:p w:rsidR="00316A61" w:rsidRDefault="00316A61" w:rsidP="00A03687">
      <w:pPr>
        <w:spacing w:after="120"/>
        <w:jc w:val="left"/>
        <w:rPr>
          <w:color w:val="262626" w:themeColor="text1" w:themeTint="D9"/>
          <w:sz w:val="20"/>
          <w:szCs w:val="20"/>
        </w:rPr>
      </w:pPr>
    </w:p>
    <w:p w:rsidR="00316A61" w:rsidRDefault="00316A61" w:rsidP="00A03687">
      <w:pPr>
        <w:spacing w:after="120"/>
        <w:jc w:val="left"/>
        <w:rPr>
          <w:color w:val="262626" w:themeColor="text1" w:themeTint="D9"/>
          <w:sz w:val="20"/>
          <w:szCs w:val="20"/>
        </w:rPr>
      </w:pPr>
    </w:p>
    <w:p w:rsidR="00316A61" w:rsidRDefault="00316A61" w:rsidP="00A03687">
      <w:pPr>
        <w:spacing w:after="120"/>
        <w:jc w:val="left"/>
        <w:rPr>
          <w:color w:val="262626" w:themeColor="text1" w:themeTint="D9"/>
          <w:sz w:val="20"/>
          <w:szCs w:val="20"/>
        </w:rPr>
      </w:pPr>
    </w:p>
    <w:p w:rsidR="00316A61" w:rsidRDefault="00316A61" w:rsidP="00A03687">
      <w:pPr>
        <w:spacing w:after="120"/>
        <w:jc w:val="left"/>
        <w:rPr>
          <w:color w:val="262626" w:themeColor="text1" w:themeTint="D9"/>
          <w:sz w:val="20"/>
          <w:szCs w:val="20"/>
        </w:rPr>
      </w:pPr>
    </w:p>
    <w:p w:rsidR="00316A61" w:rsidRDefault="00316A61" w:rsidP="00A03687">
      <w:pPr>
        <w:spacing w:after="120"/>
        <w:jc w:val="left"/>
        <w:rPr>
          <w:color w:val="262626" w:themeColor="text1" w:themeTint="D9"/>
          <w:sz w:val="20"/>
          <w:szCs w:val="20"/>
        </w:rPr>
      </w:pPr>
    </w:p>
    <w:p w:rsidR="00316A61" w:rsidRDefault="00316A61" w:rsidP="00A03687">
      <w:pPr>
        <w:spacing w:after="120"/>
        <w:jc w:val="left"/>
        <w:rPr>
          <w:color w:val="262626" w:themeColor="text1" w:themeTint="D9"/>
          <w:sz w:val="20"/>
          <w:szCs w:val="20"/>
        </w:rPr>
      </w:pPr>
    </w:p>
    <w:p w:rsidR="00C36FA7" w:rsidRDefault="00C36FA7" w:rsidP="00A03687">
      <w:pPr>
        <w:spacing w:after="120"/>
        <w:jc w:val="left"/>
        <w:rPr>
          <w:color w:val="262626" w:themeColor="text1" w:themeTint="D9"/>
          <w:sz w:val="20"/>
          <w:szCs w:val="20"/>
        </w:rPr>
      </w:pPr>
      <w:r>
        <w:rPr>
          <w:color w:val="262626" w:themeColor="text1" w:themeTint="D9"/>
          <w:sz w:val="20"/>
          <w:szCs w:val="20"/>
        </w:rPr>
        <w:lastRenderedPageBreak/>
        <w:t>L</w:t>
      </w:r>
      <w:r w:rsidR="00C735EE">
        <w:rPr>
          <w:color w:val="262626" w:themeColor="text1" w:themeTint="D9"/>
          <w:sz w:val="20"/>
          <w:szCs w:val="20"/>
        </w:rPr>
        <w:t xml:space="preserve">a France est le pays de l’OCDE où les cotisations patronales en proportion du coût du travail sont les plus </w:t>
      </w:r>
      <w:r w:rsidR="003703ED">
        <w:rPr>
          <w:color w:val="262626" w:themeColor="text1" w:themeTint="D9"/>
          <w:sz w:val="20"/>
          <w:szCs w:val="20"/>
        </w:rPr>
        <w:t>importantes</w:t>
      </w:r>
      <w:r w:rsidR="00C735EE">
        <w:rPr>
          <w:color w:val="262626" w:themeColor="text1" w:themeTint="D9"/>
          <w:sz w:val="20"/>
          <w:szCs w:val="20"/>
        </w:rPr>
        <w:t xml:space="preserve">. </w:t>
      </w:r>
      <w:r>
        <w:rPr>
          <w:color w:val="262626" w:themeColor="text1" w:themeTint="D9"/>
          <w:sz w:val="20"/>
          <w:szCs w:val="20"/>
        </w:rPr>
        <w:t xml:space="preserve">Un tel niveau </w:t>
      </w:r>
      <w:r w:rsidR="00FE74EB">
        <w:rPr>
          <w:color w:val="262626" w:themeColor="text1" w:themeTint="D9"/>
          <w:sz w:val="20"/>
          <w:szCs w:val="20"/>
        </w:rPr>
        <w:t>pourrait être économiquement neutre</w:t>
      </w:r>
      <w:r>
        <w:rPr>
          <w:color w:val="262626" w:themeColor="text1" w:themeTint="D9"/>
          <w:sz w:val="20"/>
          <w:szCs w:val="20"/>
        </w:rPr>
        <w:t xml:space="preserve"> si le salaire brut des travailleurs</w:t>
      </w:r>
      <w:r w:rsidR="003703ED">
        <w:rPr>
          <w:color w:val="262626" w:themeColor="text1" w:themeTint="D9"/>
          <w:sz w:val="20"/>
          <w:szCs w:val="20"/>
        </w:rPr>
        <w:t xml:space="preserve"> français </w:t>
      </w:r>
      <w:r w:rsidR="00FE74EB">
        <w:rPr>
          <w:color w:val="262626" w:themeColor="text1" w:themeTint="D9"/>
          <w:sz w:val="20"/>
          <w:szCs w:val="20"/>
        </w:rPr>
        <w:t>n’était</w:t>
      </w:r>
      <w:r w:rsidR="003703ED">
        <w:rPr>
          <w:color w:val="262626" w:themeColor="text1" w:themeTint="D9"/>
          <w:sz w:val="20"/>
          <w:szCs w:val="20"/>
        </w:rPr>
        <w:t xml:space="preserve"> pas </w:t>
      </w:r>
      <w:r w:rsidR="0023037C">
        <w:rPr>
          <w:color w:val="262626" w:themeColor="text1" w:themeTint="D9"/>
          <w:sz w:val="20"/>
          <w:szCs w:val="20"/>
        </w:rPr>
        <w:t xml:space="preserve">également </w:t>
      </w:r>
      <w:r w:rsidR="003703ED">
        <w:rPr>
          <w:color w:val="262626" w:themeColor="text1" w:themeTint="D9"/>
          <w:sz w:val="20"/>
          <w:szCs w:val="20"/>
        </w:rPr>
        <w:t>élevé ce</w:t>
      </w:r>
      <w:r>
        <w:rPr>
          <w:color w:val="262626" w:themeColor="text1" w:themeTint="D9"/>
          <w:sz w:val="20"/>
          <w:szCs w:val="20"/>
        </w:rPr>
        <w:t xml:space="preserve"> qui, </w:t>
      </w:r>
      <w:r w:rsidRPr="00C36FA7">
        <w:rPr>
          <w:i/>
          <w:color w:val="262626" w:themeColor="text1" w:themeTint="D9"/>
          <w:sz w:val="20"/>
          <w:szCs w:val="20"/>
        </w:rPr>
        <w:t>in fine</w:t>
      </w:r>
      <w:r w:rsidR="00FE74EB">
        <w:rPr>
          <w:color w:val="262626" w:themeColor="text1" w:themeTint="D9"/>
          <w:sz w:val="20"/>
          <w:szCs w:val="20"/>
        </w:rPr>
        <w:t>, modérerait</w:t>
      </w:r>
      <w:r w:rsidRPr="00C36FA7">
        <w:rPr>
          <w:color w:val="262626" w:themeColor="text1" w:themeTint="D9"/>
          <w:sz w:val="20"/>
          <w:szCs w:val="20"/>
        </w:rPr>
        <w:t xml:space="preserve"> le coût du travail.</w:t>
      </w:r>
      <w:r w:rsidR="009650B8">
        <w:rPr>
          <w:color w:val="262626" w:themeColor="text1" w:themeTint="D9"/>
          <w:sz w:val="20"/>
          <w:szCs w:val="20"/>
        </w:rPr>
        <w:t xml:space="preserve"> Or, le salaire brut des F</w:t>
      </w:r>
      <w:r>
        <w:rPr>
          <w:color w:val="262626" w:themeColor="text1" w:themeTint="D9"/>
          <w:sz w:val="20"/>
          <w:szCs w:val="20"/>
        </w:rPr>
        <w:t xml:space="preserve">rançais est </w:t>
      </w:r>
      <w:r w:rsidR="009650B8">
        <w:rPr>
          <w:color w:val="262626" w:themeColor="text1" w:themeTint="D9"/>
          <w:sz w:val="20"/>
          <w:szCs w:val="20"/>
        </w:rPr>
        <w:t>élevé</w:t>
      </w:r>
      <w:r>
        <w:rPr>
          <w:color w:val="262626" w:themeColor="text1" w:themeTint="D9"/>
          <w:sz w:val="20"/>
          <w:szCs w:val="20"/>
        </w:rPr>
        <w:t xml:space="preserve"> car il inclut directement un niveau important de cotisations salariales et indirectement l’impôt sur le revenu.</w:t>
      </w:r>
      <w:r w:rsidR="003703ED">
        <w:rPr>
          <w:color w:val="262626" w:themeColor="text1" w:themeTint="D9"/>
          <w:sz w:val="20"/>
          <w:szCs w:val="20"/>
        </w:rPr>
        <w:t xml:space="preserve"> </w:t>
      </w:r>
      <w:r w:rsidR="000A6FC3">
        <w:rPr>
          <w:color w:val="262626" w:themeColor="text1" w:themeTint="D9"/>
          <w:sz w:val="20"/>
          <w:szCs w:val="20"/>
        </w:rPr>
        <w:t>L</w:t>
      </w:r>
      <w:r w:rsidR="003703ED">
        <w:rPr>
          <w:color w:val="262626" w:themeColor="text1" w:themeTint="D9"/>
          <w:sz w:val="20"/>
          <w:szCs w:val="20"/>
        </w:rPr>
        <w:t xml:space="preserve">a France est </w:t>
      </w:r>
      <w:r w:rsidR="000A6FC3">
        <w:rPr>
          <w:color w:val="262626" w:themeColor="text1" w:themeTint="D9"/>
          <w:sz w:val="20"/>
          <w:szCs w:val="20"/>
        </w:rPr>
        <w:t xml:space="preserve">ainsi </w:t>
      </w:r>
      <w:r w:rsidR="003703ED">
        <w:rPr>
          <w:color w:val="262626" w:themeColor="text1" w:themeTint="D9"/>
          <w:sz w:val="20"/>
          <w:szCs w:val="20"/>
        </w:rPr>
        <w:t xml:space="preserve">l’un des pays </w:t>
      </w:r>
      <w:r w:rsidR="000A6FC3">
        <w:rPr>
          <w:color w:val="262626" w:themeColor="text1" w:themeTint="D9"/>
          <w:sz w:val="20"/>
          <w:szCs w:val="20"/>
        </w:rPr>
        <w:t xml:space="preserve">de l’OCDE </w:t>
      </w:r>
      <w:r w:rsidR="003703ED">
        <w:rPr>
          <w:color w:val="262626" w:themeColor="text1" w:themeTint="D9"/>
          <w:sz w:val="20"/>
          <w:szCs w:val="20"/>
        </w:rPr>
        <w:t xml:space="preserve">où le degré de taxation total des revenus du travail </w:t>
      </w:r>
      <w:r w:rsidR="000A6FC3">
        <w:rPr>
          <w:color w:val="262626" w:themeColor="text1" w:themeTint="D9"/>
          <w:sz w:val="20"/>
          <w:szCs w:val="20"/>
        </w:rPr>
        <w:t>(</w:t>
      </w:r>
      <w:r w:rsidR="0023037C">
        <w:rPr>
          <w:color w:val="262626" w:themeColor="text1" w:themeTint="D9"/>
          <w:sz w:val="20"/>
          <w:szCs w:val="20"/>
        </w:rPr>
        <w:t>« </w:t>
      </w:r>
      <w:r w:rsidR="000A6FC3">
        <w:rPr>
          <w:color w:val="262626" w:themeColor="text1" w:themeTint="D9"/>
          <w:sz w:val="20"/>
          <w:szCs w:val="20"/>
        </w:rPr>
        <w:t xml:space="preserve">le coin fiscal ») </w:t>
      </w:r>
      <w:r w:rsidR="003703ED">
        <w:rPr>
          <w:color w:val="262626" w:themeColor="text1" w:themeTint="D9"/>
          <w:sz w:val="20"/>
          <w:szCs w:val="20"/>
        </w:rPr>
        <w:t xml:space="preserve">est le plus </w:t>
      </w:r>
      <w:r w:rsidR="0023037C">
        <w:rPr>
          <w:color w:val="262626" w:themeColor="text1" w:themeTint="D9"/>
          <w:sz w:val="20"/>
          <w:szCs w:val="20"/>
        </w:rPr>
        <w:t>fort</w:t>
      </w:r>
      <w:r w:rsidR="003703ED">
        <w:rPr>
          <w:color w:val="262626" w:themeColor="text1" w:themeTint="D9"/>
          <w:sz w:val="20"/>
          <w:szCs w:val="20"/>
        </w:rPr>
        <w:t xml:space="preserve">. </w:t>
      </w:r>
    </w:p>
    <w:p w:rsidR="00C36FA7" w:rsidRDefault="00F86138" w:rsidP="00A03687">
      <w:pPr>
        <w:spacing w:after="120"/>
        <w:jc w:val="left"/>
        <w:rPr>
          <w:color w:val="262626" w:themeColor="text1" w:themeTint="D9"/>
          <w:sz w:val="20"/>
          <w:szCs w:val="20"/>
        </w:rPr>
      </w:pPr>
      <w:r>
        <w:rPr>
          <w:b/>
          <w:noProof/>
          <w:lang w:eastAsia="fr-FR"/>
        </w:rPr>
        <w:pict>
          <v:shape id="_x0000_s1110" type="#_x0000_t202" style="position:absolute;margin-left:-9.45pt;margin-top:15.45pt;width:345.3pt;height:35.25pt;z-index:251765760;mso-width-relative:margin;mso-height-relative:margin" filled="f" stroked="f">
            <v:textbox>
              <w:txbxContent>
                <w:p w:rsidR="00144D6D" w:rsidRDefault="00144D6D" w:rsidP="001B0690">
                  <w:pPr>
                    <w:tabs>
                      <w:tab w:val="left" w:pos="993"/>
                    </w:tabs>
                    <w:spacing w:after="0" w:line="240" w:lineRule="auto"/>
                    <w:jc w:val="left"/>
                    <w:rPr>
                      <w:color w:val="7A003C"/>
                      <w:sz w:val="18"/>
                      <w:szCs w:val="18"/>
                    </w:rPr>
                  </w:pPr>
                  <w:r>
                    <w:rPr>
                      <w:color w:val="7A003C"/>
                      <w:sz w:val="18"/>
                      <w:szCs w:val="18"/>
                    </w:rPr>
                    <w:t>Graph 14</w:t>
                  </w:r>
                  <w:r w:rsidRPr="00987897">
                    <w:rPr>
                      <w:color w:val="7A003C"/>
                      <w:sz w:val="18"/>
                      <w:szCs w:val="18"/>
                    </w:rPr>
                    <w:t>.</w:t>
                  </w:r>
                  <w:r>
                    <w:rPr>
                      <w:color w:val="7A003C"/>
                      <w:sz w:val="18"/>
                      <w:szCs w:val="18"/>
                    </w:rPr>
                    <w:tab/>
                  </w:r>
                  <w:r>
                    <w:rPr>
                      <w:b/>
                      <w:color w:val="262626" w:themeColor="text1" w:themeTint="D9"/>
                      <w:sz w:val="20"/>
                      <w:szCs w:val="20"/>
                    </w:rPr>
                    <w:t>Le coin fiscal* dans les pays de l’OCDE</w:t>
                  </w:r>
                </w:p>
                <w:p w:rsidR="00144D6D" w:rsidRPr="00987897" w:rsidRDefault="00144D6D" w:rsidP="001B0690">
                  <w:pPr>
                    <w:tabs>
                      <w:tab w:val="left" w:pos="993"/>
                    </w:tabs>
                    <w:spacing w:after="0" w:line="240" w:lineRule="auto"/>
                    <w:ind w:firstLine="708"/>
                    <w:jc w:val="left"/>
                    <w:rPr>
                      <w:i/>
                      <w:color w:val="262626" w:themeColor="text1" w:themeTint="D9"/>
                      <w:sz w:val="18"/>
                      <w:szCs w:val="18"/>
                    </w:rPr>
                  </w:pPr>
                  <w:r>
                    <w:rPr>
                      <w:color w:val="7A003C"/>
                      <w:sz w:val="18"/>
                      <w:szCs w:val="18"/>
                    </w:rPr>
                    <w:tab/>
                  </w:r>
                  <w:r>
                    <w:rPr>
                      <w:i/>
                      <w:color w:val="262626" w:themeColor="text1" w:themeTint="D9"/>
                      <w:sz w:val="18"/>
                      <w:szCs w:val="18"/>
                    </w:rPr>
                    <w:t>En pourcentage du coût du travail, en 2011</w:t>
                  </w:r>
                </w:p>
                <w:p w:rsidR="00144D6D" w:rsidRPr="00987897" w:rsidRDefault="00144D6D" w:rsidP="001B0690">
                  <w:pPr>
                    <w:rPr>
                      <w:color w:val="7A003C"/>
                      <w:sz w:val="18"/>
                      <w:szCs w:val="18"/>
                    </w:rPr>
                  </w:pPr>
                </w:p>
              </w:txbxContent>
            </v:textbox>
          </v:shape>
        </w:pict>
      </w:r>
    </w:p>
    <w:p w:rsidR="00C36FA7" w:rsidRDefault="00C36FA7" w:rsidP="00C36FA7">
      <w:pPr>
        <w:spacing w:after="120"/>
        <w:jc w:val="left"/>
        <w:rPr>
          <w:color w:val="262626" w:themeColor="text1" w:themeTint="D9"/>
          <w:sz w:val="20"/>
          <w:szCs w:val="20"/>
        </w:rPr>
      </w:pPr>
    </w:p>
    <w:p w:rsidR="00C36FA7" w:rsidRDefault="00FA02B5" w:rsidP="00C36FA7">
      <w:pPr>
        <w:spacing w:after="120"/>
        <w:jc w:val="left"/>
        <w:rPr>
          <w:color w:val="262626" w:themeColor="text1" w:themeTint="D9"/>
          <w:sz w:val="20"/>
          <w:szCs w:val="20"/>
        </w:rPr>
      </w:pPr>
      <w:r w:rsidRPr="00FA02B5">
        <w:rPr>
          <w:noProof/>
          <w:color w:val="262626" w:themeColor="text1" w:themeTint="D9"/>
          <w:sz w:val="20"/>
          <w:szCs w:val="20"/>
          <w:lang w:eastAsia="fr-FR"/>
        </w:rPr>
        <w:drawing>
          <wp:anchor distT="0" distB="0" distL="114300" distR="114300" simplePos="0" relativeHeight="251764736" behindDoc="0" locked="0" layoutInCell="1" allowOverlap="1">
            <wp:simplePos x="0" y="0"/>
            <wp:positionH relativeFrom="column">
              <wp:posOffset>-211455</wp:posOffset>
            </wp:positionH>
            <wp:positionV relativeFrom="paragraph">
              <wp:posOffset>3810</wp:posOffset>
            </wp:positionV>
            <wp:extent cx="5314950" cy="4914900"/>
            <wp:effectExtent l="0" t="0" r="0" b="0"/>
            <wp:wrapNone/>
            <wp:docPr id="9"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C36FA7" w:rsidRDefault="00C36FA7" w:rsidP="00C36FA7">
      <w:pPr>
        <w:spacing w:after="120"/>
        <w:jc w:val="left"/>
        <w:rPr>
          <w:color w:val="262626" w:themeColor="text1" w:themeTint="D9"/>
          <w:sz w:val="20"/>
          <w:szCs w:val="20"/>
        </w:rPr>
      </w:pPr>
    </w:p>
    <w:p w:rsidR="00C36FA7" w:rsidRPr="0008292A" w:rsidRDefault="00C36FA7" w:rsidP="00C36FA7">
      <w:pPr>
        <w:spacing w:after="120"/>
        <w:jc w:val="left"/>
        <w:rPr>
          <w:color w:val="262626" w:themeColor="text1" w:themeTint="D9"/>
          <w:sz w:val="20"/>
          <w:szCs w:val="20"/>
        </w:rPr>
      </w:pPr>
      <w:r w:rsidRPr="0008292A">
        <w:rPr>
          <w:color w:val="262626" w:themeColor="text1" w:themeTint="D9"/>
          <w:sz w:val="20"/>
          <w:szCs w:val="20"/>
        </w:rPr>
        <w:t>Pour résorber le déficit de l’</w:t>
      </w:r>
      <w:r w:rsidR="004759CA">
        <w:rPr>
          <w:color w:val="262626" w:themeColor="text1" w:themeTint="D9"/>
          <w:sz w:val="20"/>
          <w:szCs w:val="20"/>
        </w:rPr>
        <w:t>Assurance maladie</w:t>
      </w:r>
      <w:r w:rsidRPr="0008292A">
        <w:rPr>
          <w:color w:val="262626" w:themeColor="text1" w:themeTint="D9"/>
          <w:sz w:val="20"/>
          <w:szCs w:val="20"/>
        </w:rPr>
        <w:t xml:space="preserve"> sans pénaliser l’emploi, la diversification des financements à moyen et long terme est</w:t>
      </w:r>
      <w:r w:rsidR="00B44B89">
        <w:rPr>
          <w:color w:val="262626" w:themeColor="text1" w:themeTint="D9"/>
          <w:sz w:val="20"/>
          <w:szCs w:val="20"/>
        </w:rPr>
        <w:t xml:space="preserve"> donc</w:t>
      </w:r>
      <w:r w:rsidRPr="0008292A">
        <w:rPr>
          <w:color w:val="262626" w:themeColor="text1" w:themeTint="D9"/>
          <w:sz w:val="20"/>
          <w:szCs w:val="20"/>
        </w:rPr>
        <w:t xml:space="preserve"> indispensable en complément des gains d’efficience ou de la montée en charge de la prévention. </w:t>
      </w:r>
    </w:p>
    <w:p w:rsidR="00C36FA7" w:rsidRDefault="00C36FA7" w:rsidP="00A03687">
      <w:pPr>
        <w:spacing w:after="120"/>
        <w:jc w:val="left"/>
        <w:rPr>
          <w:color w:val="262626" w:themeColor="text1" w:themeTint="D9"/>
          <w:sz w:val="20"/>
          <w:szCs w:val="20"/>
        </w:rPr>
      </w:pPr>
    </w:p>
    <w:p w:rsidR="00C735EE" w:rsidRDefault="00C735EE" w:rsidP="00A03687">
      <w:pPr>
        <w:spacing w:after="120"/>
        <w:jc w:val="left"/>
        <w:rPr>
          <w:color w:val="262626" w:themeColor="text1" w:themeTint="D9"/>
          <w:sz w:val="20"/>
          <w:szCs w:val="20"/>
        </w:rPr>
      </w:pPr>
    </w:p>
    <w:p w:rsidR="00C735EE" w:rsidRDefault="00C735EE" w:rsidP="00A03687">
      <w:pPr>
        <w:spacing w:after="120"/>
        <w:jc w:val="left"/>
        <w:rPr>
          <w:color w:val="262626" w:themeColor="text1" w:themeTint="D9"/>
          <w:sz w:val="20"/>
          <w:szCs w:val="20"/>
        </w:rPr>
      </w:pPr>
    </w:p>
    <w:p w:rsidR="00C735EE" w:rsidRDefault="00C735EE" w:rsidP="00A03687">
      <w:pPr>
        <w:spacing w:after="120"/>
        <w:jc w:val="left"/>
        <w:rPr>
          <w:color w:val="262626" w:themeColor="text1" w:themeTint="D9"/>
          <w:sz w:val="20"/>
          <w:szCs w:val="20"/>
        </w:rPr>
      </w:pPr>
    </w:p>
    <w:p w:rsidR="00C735EE" w:rsidRDefault="00C735EE" w:rsidP="00A03687">
      <w:pPr>
        <w:spacing w:after="120"/>
        <w:jc w:val="left"/>
        <w:rPr>
          <w:color w:val="262626" w:themeColor="text1" w:themeTint="D9"/>
          <w:sz w:val="20"/>
          <w:szCs w:val="20"/>
        </w:rPr>
      </w:pPr>
    </w:p>
    <w:p w:rsidR="00C735EE" w:rsidRDefault="00C735EE" w:rsidP="00A03687">
      <w:pPr>
        <w:spacing w:after="120"/>
        <w:jc w:val="left"/>
        <w:rPr>
          <w:color w:val="262626" w:themeColor="text1" w:themeTint="D9"/>
          <w:sz w:val="20"/>
          <w:szCs w:val="20"/>
        </w:rPr>
      </w:pPr>
    </w:p>
    <w:p w:rsidR="00C735EE" w:rsidRPr="0008292A" w:rsidRDefault="00C735EE" w:rsidP="00A03687">
      <w:pPr>
        <w:spacing w:after="120"/>
        <w:jc w:val="left"/>
        <w:rPr>
          <w:color w:val="262626" w:themeColor="text1" w:themeTint="D9"/>
          <w:sz w:val="20"/>
          <w:szCs w:val="20"/>
        </w:rPr>
        <w:sectPr w:rsidR="00C735EE" w:rsidRPr="0008292A" w:rsidSect="00E21FEC">
          <w:type w:val="continuous"/>
          <w:pgSz w:w="11906" w:h="16838"/>
          <w:pgMar w:top="1928" w:right="1418" w:bottom="1135" w:left="993" w:header="709" w:footer="709" w:gutter="0"/>
          <w:cols w:num="2" w:space="708"/>
          <w:docGrid w:linePitch="360"/>
        </w:sectPr>
      </w:pPr>
    </w:p>
    <w:p w:rsidR="00316A61" w:rsidRDefault="00316A61" w:rsidP="005A1022">
      <w:pPr>
        <w:pStyle w:val="Textedebase"/>
        <w:ind w:left="0"/>
        <w:rPr>
          <w:b/>
          <w:sz w:val="21"/>
        </w:rPr>
      </w:pPr>
    </w:p>
    <w:p w:rsidR="00316A61" w:rsidRDefault="00316A61" w:rsidP="005A1022">
      <w:pPr>
        <w:pStyle w:val="Textedebase"/>
        <w:ind w:left="0"/>
        <w:rPr>
          <w:b/>
          <w:sz w:val="21"/>
        </w:rPr>
      </w:pPr>
    </w:p>
    <w:p w:rsidR="00316A61" w:rsidRDefault="00316A61" w:rsidP="005A1022">
      <w:pPr>
        <w:pStyle w:val="Textedebase"/>
        <w:ind w:left="0"/>
        <w:rPr>
          <w:b/>
          <w:sz w:val="21"/>
        </w:rPr>
      </w:pPr>
    </w:p>
    <w:p w:rsidR="00316A61" w:rsidRDefault="00316A61" w:rsidP="005A1022">
      <w:pPr>
        <w:pStyle w:val="Textedebase"/>
        <w:ind w:left="0"/>
        <w:rPr>
          <w:b/>
          <w:sz w:val="21"/>
        </w:rPr>
      </w:pPr>
    </w:p>
    <w:p w:rsidR="00316A61" w:rsidRDefault="00316A61" w:rsidP="005A1022">
      <w:pPr>
        <w:pStyle w:val="Textedebase"/>
        <w:ind w:left="0"/>
        <w:rPr>
          <w:b/>
          <w:sz w:val="21"/>
        </w:rPr>
      </w:pPr>
    </w:p>
    <w:p w:rsidR="00C735EE" w:rsidRDefault="00C735EE" w:rsidP="005A1022">
      <w:pPr>
        <w:pStyle w:val="Textedebase"/>
        <w:ind w:left="0"/>
        <w:rPr>
          <w:b/>
          <w:sz w:val="21"/>
        </w:rPr>
      </w:pPr>
    </w:p>
    <w:p w:rsidR="00C735EE" w:rsidRDefault="00C735EE" w:rsidP="005A1022">
      <w:pPr>
        <w:pStyle w:val="Textedebase"/>
        <w:ind w:left="0"/>
        <w:rPr>
          <w:b/>
          <w:sz w:val="21"/>
        </w:rPr>
      </w:pPr>
    </w:p>
    <w:p w:rsidR="00C735EE" w:rsidRDefault="00C735EE" w:rsidP="005A1022">
      <w:pPr>
        <w:pStyle w:val="Textedebase"/>
        <w:ind w:left="0"/>
        <w:rPr>
          <w:b/>
          <w:sz w:val="21"/>
        </w:rPr>
      </w:pPr>
    </w:p>
    <w:p w:rsidR="00C735EE" w:rsidRDefault="00C735EE" w:rsidP="005A1022">
      <w:pPr>
        <w:pStyle w:val="Textedebase"/>
        <w:ind w:left="0"/>
        <w:rPr>
          <w:b/>
          <w:sz w:val="21"/>
        </w:rPr>
      </w:pPr>
    </w:p>
    <w:p w:rsidR="00C735EE" w:rsidRDefault="00C735EE" w:rsidP="005A1022">
      <w:pPr>
        <w:pStyle w:val="Textedebase"/>
        <w:ind w:left="0"/>
        <w:rPr>
          <w:b/>
          <w:sz w:val="21"/>
        </w:rPr>
      </w:pPr>
    </w:p>
    <w:p w:rsidR="00C735EE" w:rsidRDefault="00C735EE" w:rsidP="005A1022">
      <w:pPr>
        <w:pStyle w:val="Textedebase"/>
        <w:ind w:left="0"/>
        <w:rPr>
          <w:b/>
          <w:sz w:val="21"/>
        </w:rPr>
      </w:pPr>
    </w:p>
    <w:p w:rsidR="00C735EE" w:rsidRDefault="00C735EE" w:rsidP="005A1022">
      <w:pPr>
        <w:pStyle w:val="Textedebase"/>
        <w:ind w:left="0"/>
        <w:rPr>
          <w:b/>
          <w:sz w:val="21"/>
        </w:rPr>
      </w:pPr>
    </w:p>
    <w:p w:rsidR="00C735EE" w:rsidRDefault="00C735EE" w:rsidP="005A1022">
      <w:pPr>
        <w:pStyle w:val="Textedebase"/>
        <w:ind w:left="0"/>
        <w:rPr>
          <w:b/>
          <w:sz w:val="21"/>
        </w:rPr>
      </w:pPr>
    </w:p>
    <w:p w:rsidR="00C735EE" w:rsidRDefault="00C735EE" w:rsidP="005A1022">
      <w:pPr>
        <w:pStyle w:val="Textedebase"/>
        <w:ind w:left="0"/>
        <w:rPr>
          <w:b/>
          <w:sz w:val="21"/>
        </w:rPr>
      </w:pPr>
    </w:p>
    <w:p w:rsidR="00C735EE" w:rsidRDefault="00C735EE" w:rsidP="005A1022">
      <w:pPr>
        <w:pStyle w:val="Textedebase"/>
        <w:ind w:left="0"/>
        <w:rPr>
          <w:b/>
          <w:sz w:val="21"/>
        </w:rPr>
      </w:pPr>
    </w:p>
    <w:p w:rsidR="00C36FA7" w:rsidRDefault="00F86138" w:rsidP="005A1022">
      <w:pPr>
        <w:pStyle w:val="Textedebase"/>
        <w:ind w:left="0"/>
        <w:rPr>
          <w:b/>
          <w:sz w:val="21"/>
        </w:rPr>
      </w:pPr>
      <w:r>
        <w:rPr>
          <w:b/>
          <w:noProof/>
          <w:sz w:val="21"/>
          <w:lang w:eastAsia="fr-FR"/>
        </w:rPr>
        <w:pict>
          <v:shape id="_x0000_s1113" type="#_x0000_t202" style="position:absolute;left:0;text-align:left;margin-left:-3.65pt;margin-top:2.35pt;width:465pt;height:61.5pt;z-index:251762688;mso-width-relative:margin;mso-height-relative:margin;v-text-anchor:middle" filled="f" stroked="f">
            <v:textbox style="mso-next-textbox:#_x0000_s1113">
              <w:txbxContent>
                <w:p w:rsidR="00144D6D" w:rsidRDefault="00144D6D" w:rsidP="004759CA">
                  <w:pPr>
                    <w:tabs>
                      <w:tab w:val="left" w:pos="567"/>
                    </w:tabs>
                    <w:spacing w:after="0" w:line="240" w:lineRule="auto"/>
                    <w:jc w:val="left"/>
                    <w:rPr>
                      <w:color w:val="262626" w:themeColor="text1" w:themeTint="D9"/>
                      <w:sz w:val="18"/>
                      <w:szCs w:val="18"/>
                    </w:rPr>
                  </w:pPr>
                  <w:r w:rsidRPr="003703ED">
                    <w:rPr>
                      <w:color w:val="262626" w:themeColor="text1" w:themeTint="D9"/>
                      <w:sz w:val="18"/>
                      <w:szCs w:val="18"/>
                    </w:rPr>
                    <w:t>Notes : *</w:t>
                  </w:r>
                  <w:r>
                    <w:rPr>
                      <w:color w:val="262626" w:themeColor="text1" w:themeTint="D9"/>
                      <w:sz w:val="18"/>
                      <w:szCs w:val="18"/>
                    </w:rPr>
                    <w:t xml:space="preserve"> l</w:t>
                  </w:r>
                  <w:r w:rsidRPr="003703ED">
                    <w:rPr>
                      <w:color w:val="262626" w:themeColor="text1" w:themeTint="D9"/>
                      <w:sz w:val="18"/>
                      <w:szCs w:val="18"/>
                    </w:rPr>
                    <w:t>e coin fiscal mesure le</w:t>
                  </w:r>
                  <w:r>
                    <w:rPr>
                      <w:color w:val="262626" w:themeColor="text1" w:themeTint="D9"/>
                      <w:sz w:val="18"/>
                      <w:szCs w:val="18"/>
                    </w:rPr>
                    <w:t xml:space="preserve"> degré de taxation total des revenus du travail. Son poids et sa structure influencent l’offre</w:t>
                  </w:r>
                </w:p>
                <w:p w:rsidR="00144D6D" w:rsidRDefault="00144D6D" w:rsidP="004759CA">
                  <w:pPr>
                    <w:tabs>
                      <w:tab w:val="left" w:pos="567"/>
                    </w:tabs>
                    <w:spacing w:after="0" w:line="240" w:lineRule="auto"/>
                    <w:jc w:val="left"/>
                    <w:rPr>
                      <w:color w:val="262626" w:themeColor="text1" w:themeTint="D9"/>
                      <w:sz w:val="18"/>
                      <w:szCs w:val="18"/>
                    </w:rPr>
                  </w:pPr>
                  <w:r>
                    <w:rPr>
                      <w:color w:val="262626" w:themeColor="text1" w:themeTint="D9"/>
                      <w:sz w:val="18"/>
                      <w:szCs w:val="18"/>
                    </w:rPr>
                    <w:tab/>
                    <w:t xml:space="preserve"> </w:t>
                  </w:r>
                  <w:proofErr w:type="gramStart"/>
                  <w:r>
                    <w:rPr>
                      <w:color w:val="262626" w:themeColor="text1" w:themeTint="D9"/>
                      <w:sz w:val="18"/>
                      <w:szCs w:val="18"/>
                    </w:rPr>
                    <w:t>et</w:t>
                  </w:r>
                  <w:proofErr w:type="gramEnd"/>
                  <w:r>
                    <w:rPr>
                      <w:color w:val="262626" w:themeColor="text1" w:themeTint="D9"/>
                      <w:sz w:val="18"/>
                      <w:szCs w:val="18"/>
                    </w:rPr>
                    <w:t xml:space="preserve"> la demande de travail au sein d’un pays. Il influe donc sur le niveau de l’emploi et du chômage.</w:t>
                  </w:r>
                </w:p>
                <w:p w:rsidR="00144D6D" w:rsidRPr="005418EE" w:rsidRDefault="00144D6D" w:rsidP="004759CA">
                  <w:pPr>
                    <w:tabs>
                      <w:tab w:val="left" w:pos="567"/>
                    </w:tabs>
                    <w:spacing w:after="120" w:line="240" w:lineRule="auto"/>
                    <w:jc w:val="left"/>
                    <w:rPr>
                      <w:color w:val="262626" w:themeColor="text1" w:themeTint="D9"/>
                      <w:sz w:val="18"/>
                      <w:szCs w:val="18"/>
                    </w:rPr>
                  </w:pPr>
                  <w:r>
                    <w:rPr>
                      <w:color w:val="262626" w:themeColor="text1" w:themeTint="D9"/>
                      <w:sz w:val="18"/>
                      <w:szCs w:val="18"/>
                    </w:rPr>
                    <w:tab/>
                  </w:r>
                  <w:r w:rsidRPr="005418EE">
                    <w:rPr>
                      <w:color w:val="262626" w:themeColor="text1" w:themeTint="D9"/>
                      <w:sz w:val="18"/>
                      <w:szCs w:val="18"/>
                    </w:rPr>
                    <w:t xml:space="preserve">** l’impôt sur le </w:t>
                  </w:r>
                  <w:r>
                    <w:rPr>
                      <w:color w:val="262626" w:themeColor="text1" w:themeTint="D9"/>
                      <w:sz w:val="18"/>
                      <w:szCs w:val="18"/>
                    </w:rPr>
                    <w:t>revenu</w:t>
                  </w:r>
                  <w:r w:rsidRPr="005418EE">
                    <w:rPr>
                      <w:color w:val="262626" w:themeColor="text1" w:themeTint="D9"/>
                      <w:sz w:val="18"/>
                      <w:szCs w:val="18"/>
                    </w:rPr>
                    <w:t xml:space="preserve"> e</w:t>
                  </w:r>
                  <w:r>
                    <w:rPr>
                      <w:color w:val="262626" w:themeColor="text1" w:themeTint="D9"/>
                      <w:sz w:val="18"/>
                      <w:szCs w:val="18"/>
                    </w:rPr>
                    <w:t>st calculé sur la base d’un salarié célibataire, sans enfant, et touchant un revenu moyen.</w:t>
                  </w:r>
                </w:p>
                <w:p w:rsidR="00144D6D" w:rsidRPr="005418EE" w:rsidRDefault="00144D6D" w:rsidP="004759CA">
                  <w:pPr>
                    <w:spacing w:after="120" w:line="240" w:lineRule="auto"/>
                    <w:jc w:val="left"/>
                    <w:rPr>
                      <w:color w:val="262626" w:themeColor="text1" w:themeTint="D9"/>
                      <w:sz w:val="18"/>
                      <w:szCs w:val="18"/>
                      <w:lang w:val="en-US"/>
                    </w:rPr>
                  </w:pPr>
                  <w:proofErr w:type="gramStart"/>
                  <w:r w:rsidRPr="005418EE">
                    <w:rPr>
                      <w:color w:val="262626" w:themeColor="text1" w:themeTint="D9"/>
                      <w:sz w:val="18"/>
                      <w:szCs w:val="18"/>
                      <w:lang w:val="en-US"/>
                    </w:rPr>
                    <w:t>Source :</w:t>
                  </w:r>
                  <w:proofErr w:type="gramEnd"/>
                  <w:r w:rsidRPr="005418EE">
                    <w:rPr>
                      <w:color w:val="262626" w:themeColor="text1" w:themeTint="D9"/>
                      <w:sz w:val="18"/>
                      <w:szCs w:val="18"/>
                      <w:lang w:val="en-US"/>
                    </w:rPr>
                    <w:t xml:space="preserve"> OCDE (Taxing Wages 2011) </w:t>
                  </w:r>
                </w:p>
              </w:txbxContent>
            </v:textbox>
          </v:shape>
        </w:pict>
      </w:r>
    </w:p>
    <w:p w:rsidR="004759CA" w:rsidRDefault="004759CA" w:rsidP="005A1022">
      <w:pPr>
        <w:pStyle w:val="Textedebase"/>
        <w:ind w:left="0"/>
        <w:rPr>
          <w:b/>
          <w:sz w:val="21"/>
        </w:rPr>
      </w:pPr>
    </w:p>
    <w:p w:rsidR="004759CA" w:rsidRDefault="004759CA" w:rsidP="005A1022">
      <w:pPr>
        <w:pStyle w:val="Textedebase"/>
        <w:ind w:left="0"/>
        <w:rPr>
          <w:b/>
          <w:sz w:val="21"/>
        </w:rPr>
      </w:pPr>
    </w:p>
    <w:p w:rsidR="005A1022" w:rsidRDefault="00621120" w:rsidP="005A1022">
      <w:pPr>
        <w:pStyle w:val="Textedebase"/>
        <w:ind w:left="0"/>
        <w:rPr>
          <w:b/>
          <w:sz w:val="21"/>
        </w:rPr>
      </w:pPr>
      <w:r w:rsidRPr="0008292A">
        <w:rPr>
          <w:b/>
          <w:sz w:val="21"/>
        </w:rPr>
        <w:lastRenderedPageBreak/>
        <w:t>Petits maux saisonniers : vers u</w:t>
      </w:r>
      <w:r w:rsidR="005A1022" w:rsidRPr="0008292A">
        <w:rPr>
          <w:b/>
          <w:sz w:val="21"/>
        </w:rPr>
        <w:t>ne couverture plus assurantielle</w:t>
      </w:r>
    </w:p>
    <w:p w:rsidR="00A03687" w:rsidRPr="0008292A" w:rsidRDefault="004D7988" w:rsidP="009B5428">
      <w:pPr>
        <w:ind w:right="5100"/>
        <w:jc w:val="left"/>
        <w:rPr>
          <w:color w:val="262626" w:themeColor="text1" w:themeTint="D9"/>
          <w:sz w:val="20"/>
          <w:szCs w:val="20"/>
        </w:rPr>
      </w:pPr>
      <w:r>
        <w:rPr>
          <w:noProof/>
          <w:color w:val="262626" w:themeColor="text1" w:themeTint="D9"/>
          <w:sz w:val="20"/>
          <w:szCs w:val="20"/>
          <w:lang w:eastAsia="fr-FR"/>
        </w:rPr>
        <w:drawing>
          <wp:anchor distT="0" distB="0" distL="114300" distR="114300" simplePos="0" relativeHeight="251706368" behindDoc="0" locked="0" layoutInCell="1" allowOverlap="1">
            <wp:simplePos x="0" y="0"/>
            <wp:positionH relativeFrom="column">
              <wp:posOffset>3103245</wp:posOffset>
            </wp:positionH>
            <wp:positionV relativeFrom="paragraph">
              <wp:posOffset>499745</wp:posOffset>
            </wp:positionV>
            <wp:extent cx="3238500" cy="2162175"/>
            <wp:effectExtent l="0" t="0" r="0" b="0"/>
            <wp:wrapNone/>
            <wp:docPr id="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00F86138">
        <w:rPr>
          <w:noProof/>
          <w:color w:val="262626" w:themeColor="text1" w:themeTint="D9"/>
          <w:sz w:val="20"/>
          <w:szCs w:val="20"/>
          <w:lang w:eastAsia="fr-FR"/>
        </w:rPr>
        <w:pict>
          <v:shape id="_x0000_s1060" type="#_x0000_t202" style="position:absolute;margin-left:243.8pt;margin-top:9.1pt;width:258.3pt;height:35.75pt;z-index:251705344;mso-position-horizontal-relative:text;mso-position-vertical-relative:text;mso-width-relative:margin;mso-height-relative:margin" filled="f" stroked="f">
            <v:textbox>
              <w:txbxContent>
                <w:p w:rsidR="00144D6D" w:rsidRDefault="00144D6D" w:rsidP="00E21FEC">
                  <w:pPr>
                    <w:tabs>
                      <w:tab w:val="left" w:pos="993"/>
                    </w:tabs>
                    <w:spacing w:after="0" w:line="240" w:lineRule="auto"/>
                    <w:ind w:left="990" w:hanging="990"/>
                    <w:jc w:val="left"/>
                    <w:rPr>
                      <w:color w:val="7A003C"/>
                      <w:sz w:val="18"/>
                      <w:szCs w:val="18"/>
                    </w:rPr>
                  </w:pPr>
                  <w:r>
                    <w:rPr>
                      <w:color w:val="7A003C"/>
                      <w:sz w:val="18"/>
                      <w:szCs w:val="18"/>
                    </w:rPr>
                    <w:t>Graph 15</w:t>
                  </w:r>
                  <w:r w:rsidRPr="00987897">
                    <w:rPr>
                      <w:color w:val="7A003C"/>
                      <w:sz w:val="18"/>
                      <w:szCs w:val="18"/>
                    </w:rPr>
                    <w:t>.</w:t>
                  </w:r>
                  <w:r>
                    <w:rPr>
                      <w:color w:val="7A003C"/>
                      <w:sz w:val="18"/>
                      <w:szCs w:val="18"/>
                    </w:rPr>
                    <w:tab/>
                  </w:r>
                  <w:r>
                    <w:rPr>
                      <w:b/>
                      <w:color w:val="262626" w:themeColor="text1" w:themeTint="D9"/>
                      <w:sz w:val="20"/>
                      <w:szCs w:val="20"/>
                    </w:rPr>
                    <w:t>Part du financement privé de la CSBM*</w:t>
                  </w:r>
                </w:p>
                <w:p w:rsidR="00144D6D" w:rsidRPr="00987897" w:rsidRDefault="00144D6D" w:rsidP="00E21FEC">
                  <w:pPr>
                    <w:tabs>
                      <w:tab w:val="left" w:pos="993"/>
                    </w:tabs>
                    <w:spacing w:after="0" w:line="240" w:lineRule="auto"/>
                    <w:ind w:firstLine="708"/>
                    <w:jc w:val="left"/>
                    <w:rPr>
                      <w:i/>
                      <w:color w:val="262626" w:themeColor="text1" w:themeTint="D9"/>
                      <w:sz w:val="18"/>
                      <w:szCs w:val="18"/>
                    </w:rPr>
                  </w:pPr>
                  <w:r>
                    <w:rPr>
                      <w:color w:val="7A003C"/>
                      <w:sz w:val="18"/>
                      <w:szCs w:val="18"/>
                    </w:rPr>
                    <w:tab/>
                  </w:r>
                  <w:r>
                    <w:rPr>
                      <w:i/>
                      <w:color w:val="262626" w:themeColor="text1" w:themeTint="D9"/>
                      <w:sz w:val="18"/>
                      <w:szCs w:val="18"/>
                    </w:rPr>
                    <w:t>En pourcentage de la CSBM</w:t>
                  </w:r>
                </w:p>
                <w:p w:rsidR="00144D6D" w:rsidRPr="00987897" w:rsidRDefault="00144D6D" w:rsidP="00E21FEC">
                  <w:pPr>
                    <w:rPr>
                      <w:color w:val="7A003C"/>
                      <w:sz w:val="18"/>
                      <w:szCs w:val="18"/>
                    </w:rPr>
                  </w:pPr>
                </w:p>
              </w:txbxContent>
            </v:textbox>
          </v:shape>
        </w:pict>
      </w:r>
      <w:r w:rsidR="005A1022" w:rsidRPr="0008292A">
        <w:rPr>
          <w:color w:val="262626" w:themeColor="text1" w:themeTint="D9"/>
          <w:sz w:val="20"/>
          <w:szCs w:val="20"/>
        </w:rPr>
        <w:t>Depuis 2005, l’</w:t>
      </w:r>
      <w:r w:rsidR="004759CA">
        <w:rPr>
          <w:color w:val="262626" w:themeColor="text1" w:themeTint="D9"/>
          <w:sz w:val="20"/>
          <w:szCs w:val="20"/>
        </w:rPr>
        <w:t>Assurance maladie</w:t>
      </w:r>
      <w:r w:rsidR="005A1022" w:rsidRPr="0008292A">
        <w:rPr>
          <w:color w:val="262626" w:themeColor="text1" w:themeTint="D9"/>
          <w:sz w:val="20"/>
          <w:szCs w:val="20"/>
        </w:rPr>
        <w:t xml:space="preserve"> tente de maîtriser ses dépenses par la généralisation du ticket modérateur, la baisse des prix des actes médicaux </w:t>
      </w:r>
      <w:r w:rsidR="007D1760" w:rsidRPr="0008292A">
        <w:rPr>
          <w:color w:val="262626" w:themeColor="text1" w:themeTint="D9"/>
          <w:sz w:val="20"/>
          <w:szCs w:val="20"/>
        </w:rPr>
        <w:t>(comme ceux de la biologie) et d</w:t>
      </w:r>
      <w:r w:rsidR="005A1022" w:rsidRPr="0008292A">
        <w:rPr>
          <w:color w:val="262626" w:themeColor="text1" w:themeTint="D9"/>
          <w:sz w:val="20"/>
          <w:szCs w:val="20"/>
        </w:rPr>
        <w:t xml:space="preserve">es déremboursements de </w:t>
      </w:r>
      <w:r w:rsidR="007D1760" w:rsidRPr="0008292A">
        <w:rPr>
          <w:color w:val="262626" w:themeColor="text1" w:themeTint="D9"/>
          <w:sz w:val="20"/>
          <w:szCs w:val="20"/>
        </w:rPr>
        <w:t>soins et de médicaments</w:t>
      </w:r>
      <w:r w:rsidR="005A1022" w:rsidRPr="0008292A">
        <w:rPr>
          <w:color w:val="262626" w:themeColor="text1" w:themeTint="D9"/>
          <w:sz w:val="20"/>
          <w:szCs w:val="20"/>
        </w:rPr>
        <w:t xml:space="preserve">. </w:t>
      </w:r>
    </w:p>
    <w:p w:rsidR="005A1022" w:rsidRPr="0008292A" w:rsidRDefault="005A1022" w:rsidP="009B5428">
      <w:pPr>
        <w:ind w:right="5100"/>
        <w:jc w:val="left"/>
        <w:rPr>
          <w:color w:val="262626" w:themeColor="text1" w:themeTint="D9"/>
          <w:sz w:val="20"/>
          <w:szCs w:val="20"/>
        </w:rPr>
      </w:pPr>
      <w:r w:rsidRPr="0008292A">
        <w:rPr>
          <w:color w:val="262626" w:themeColor="text1" w:themeTint="D9"/>
          <w:sz w:val="20"/>
          <w:szCs w:val="20"/>
        </w:rPr>
        <w:t xml:space="preserve">En conséquence, entre 2005 et 2011, le poids du secteur privé dans le financement de la santé est passé de 21,9% à 23,3%. </w:t>
      </w:r>
    </w:p>
    <w:p w:rsidR="009B5428" w:rsidRPr="0008292A" w:rsidRDefault="009B5428" w:rsidP="009B5428">
      <w:pPr>
        <w:ind w:right="5242"/>
        <w:jc w:val="left"/>
        <w:rPr>
          <w:color w:val="262626" w:themeColor="text1" w:themeTint="D9"/>
          <w:sz w:val="20"/>
          <w:szCs w:val="20"/>
        </w:rPr>
      </w:pPr>
      <w:r w:rsidRPr="0008292A">
        <w:rPr>
          <w:color w:val="262626" w:themeColor="text1" w:themeTint="D9"/>
          <w:sz w:val="20"/>
          <w:szCs w:val="20"/>
        </w:rPr>
        <w:t xml:space="preserve">La pérennité du système de soins passe notamment par une redéfinition des maladies </w:t>
      </w:r>
      <w:r w:rsidR="0073336C">
        <w:rPr>
          <w:color w:val="262626" w:themeColor="text1" w:themeTint="D9"/>
          <w:sz w:val="20"/>
          <w:szCs w:val="20"/>
        </w:rPr>
        <w:t xml:space="preserve">et des prestations </w:t>
      </w:r>
      <w:r w:rsidRPr="0008292A">
        <w:rPr>
          <w:color w:val="262626" w:themeColor="text1" w:themeTint="D9"/>
          <w:sz w:val="20"/>
          <w:szCs w:val="20"/>
        </w:rPr>
        <w:t>relevant intégralement de l’</w:t>
      </w:r>
      <w:r w:rsidR="004759CA">
        <w:rPr>
          <w:color w:val="262626" w:themeColor="text1" w:themeTint="D9"/>
          <w:sz w:val="20"/>
          <w:szCs w:val="20"/>
        </w:rPr>
        <w:t>Assurance maladie</w:t>
      </w:r>
      <w:r w:rsidRPr="0008292A">
        <w:rPr>
          <w:color w:val="262626" w:themeColor="text1" w:themeTint="D9"/>
          <w:sz w:val="20"/>
          <w:szCs w:val="20"/>
        </w:rPr>
        <w:t xml:space="preserve">, c’est-à-dire de la solidarité nationale. </w:t>
      </w:r>
    </w:p>
    <w:p w:rsidR="00E27EE8" w:rsidRPr="0008292A" w:rsidRDefault="00E27EE8" w:rsidP="00E27EE8">
      <w:pPr>
        <w:ind w:right="-3"/>
        <w:jc w:val="left"/>
        <w:rPr>
          <w:color w:val="262626" w:themeColor="text1" w:themeTint="D9"/>
          <w:sz w:val="20"/>
          <w:szCs w:val="20"/>
        </w:rPr>
        <w:sectPr w:rsidR="00E27EE8" w:rsidRPr="0008292A" w:rsidSect="00415E08">
          <w:type w:val="continuous"/>
          <w:pgSz w:w="11906" w:h="16838"/>
          <w:pgMar w:top="1928" w:right="1418" w:bottom="1135" w:left="993" w:header="709" w:footer="709" w:gutter="0"/>
          <w:cols w:space="708"/>
          <w:docGrid w:linePitch="360"/>
        </w:sectPr>
      </w:pPr>
    </w:p>
    <w:p w:rsidR="009B5428" w:rsidRPr="0008292A" w:rsidRDefault="009B5428" w:rsidP="00E27EE8">
      <w:pPr>
        <w:ind w:right="-3"/>
        <w:jc w:val="left"/>
        <w:rPr>
          <w:color w:val="262626" w:themeColor="text1" w:themeTint="D9"/>
          <w:sz w:val="20"/>
          <w:szCs w:val="20"/>
        </w:rPr>
      </w:pPr>
      <w:r w:rsidRPr="0008292A">
        <w:rPr>
          <w:color w:val="262626" w:themeColor="text1" w:themeTint="D9"/>
          <w:sz w:val="20"/>
          <w:szCs w:val="20"/>
        </w:rPr>
        <w:lastRenderedPageBreak/>
        <w:t xml:space="preserve">La </w:t>
      </w:r>
      <w:r w:rsidR="009676AD">
        <w:rPr>
          <w:color w:val="262626" w:themeColor="text1" w:themeTint="D9"/>
          <w:sz w:val="20"/>
          <w:szCs w:val="20"/>
        </w:rPr>
        <w:t>Sécurité sociale</w:t>
      </w:r>
      <w:r w:rsidRPr="0008292A">
        <w:rPr>
          <w:color w:val="262626" w:themeColor="text1" w:themeTint="D9"/>
          <w:sz w:val="20"/>
          <w:szCs w:val="20"/>
        </w:rPr>
        <w:t xml:space="preserve"> s’est d’ores et déjà désengagée du remboursement des frais d’optique et des soins dentaires. D’autres activités et biens médicaux pourraient suivre le même schéma. La société française doit</w:t>
      </w:r>
      <w:r w:rsidR="00685E44">
        <w:rPr>
          <w:color w:val="262626" w:themeColor="text1" w:themeTint="D9"/>
          <w:sz w:val="20"/>
          <w:szCs w:val="20"/>
        </w:rPr>
        <w:t>-elle</w:t>
      </w:r>
      <w:r w:rsidRPr="0008292A">
        <w:rPr>
          <w:color w:val="262626" w:themeColor="text1" w:themeTint="D9"/>
          <w:sz w:val="20"/>
          <w:szCs w:val="20"/>
        </w:rPr>
        <w:t xml:space="preserve"> accepter que des maladies bénignes (telles les « maux d’hiver », la petite traumatologie, les maux de tête non chroniques, etc</w:t>
      </w:r>
      <w:r w:rsidR="009676AD">
        <w:rPr>
          <w:color w:val="262626" w:themeColor="text1" w:themeTint="D9"/>
          <w:sz w:val="20"/>
          <w:szCs w:val="20"/>
        </w:rPr>
        <w:t xml:space="preserve">.) et les soins de « confort » </w:t>
      </w:r>
      <w:r w:rsidRPr="0008292A">
        <w:rPr>
          <w:color w:val="262626" w:themeColor="text1" w:themeTint="D9"/>
          <w:sz w:val="20"/>
          <w:szCs w:val="20"/>
        </w:rPr>
        <w:t>ne relèvent non plus de la solidarité nationale mais d’une prise en charge</w:t>
      </w:r>
      <w:r w:rsidR="00685E44">
        <w:rPr>
          <w:color w:val="262626" w:themeColor="text1" w:themeTint="D9"/>
          <w:sz w:val="20"/>
          <w:szCs w:val="20"/>
        </w:rPr>
        <w:t xml:space="preserve"> par </w:t>
      </w:r>
      <w:proofErr w:type="gramStart"/>
      <w:r w:rsidR="00685E44">
        <w:rPr>
          <w:color w:val="262626" w:themeColor="text1" w:themeTint="D9"/>
          <w:sz w:val="20"/>
          <w:szCs w:val="20"/>
        </w:rPr>
        <w:t>les complémentaires santé</w:t>
      </w:r>
      <w:proofErr w:type="gramEnd"/>
      <w:r w:rsidR="00685E44">
        <w:rPr>
          <w:color w:val="262626" w:themeColor="text1" w:themeTint="D9"/>
          <w:sz w:val="20"/>
          <w:szCs w:val="20"/>
        </w:rPr>
        <w:t> ?</w:t>
      </w:r>
    </w:p>
    <w:p w:rsidR="00E27EE8" w:rsidRPr="009B5428" w:rsidRDefault="00F86138" w:rsidP="00E27EE8">
      <w:pPr>
        <w:ind w:right="-3"/>
        <w:jc w:val="left"/>
        <w:rPr>
          <w:color w:val="auto"/>
          <w:sz w:val="20"/>
          <w:szCs w:val="20"/>
        </w:rPr>
      </w:pPr>
      <w:r>
        <w:rPr>
          <w:b/>
          <w:noProof/>
          <w:color w:val="auto"/>
          <w:sz w:val="20"/>
          <w:szCs w:val="20"/>
          <w:lang w:eastAsia="fr-FR"/>
        </w:rPr>
        <w:pict>
          <v:shape id="_x0000_s1062" type="#_x0000_t202" style="position:absolute;margin-left:2.05pt;margin-top:13pt;width:258.3pt;height:33pt;z-index:251708416;mso-width-relative:margin;mso-height-relative:margin" filled="f" stroked="f">
            <v:textbox style="mso-next-textbox:#_x0000_s1062">
              <w:txbxContent>
                <w:p w:rsidR="00144D6D" w:rsidRDefault="00144D6D" w:rsidP="009B5428">
                  <w:pPr>
                    <w:tabs>
                      <w:tab w:val="left" w:pos="993"/>
                    </w:tabs>
                    <w:spacing w:after="0" w:line="240" w:lineRule="auto"/>
                    <w:ind w:left="990" w:hanging="990"/>
                    <w:jc w:val="left"/>
                    <w:rPr>
                      <w:color w:val="7A003C"/>
                      <w:sz w:val="18"/>
                      <w:szCs w:val="18"/>
                    </w:rPr>
                  </w:pPr>
                  <w:r>
                    <w:rPr>
                      <w:color w:val="7A003C"/>
                      <w:sz w:val="18"/>
                      <w:szCs w:val="18"/>
                    </w:rPr>
                    <w:t>Graph 16</w:t>
                  </w:r>
                  <w:r w:rsidRPr="00987897">
                    <w:rPr>
                      <w:color w:val="7A003C"/>
                      <w:sz w:val="18"/>
                      <w:szCs w:val="18"/>
                    </w:rPr>
                    <w:t>.</w:t>
                  </w:r>
                  <w:r>
                    <w:rPr>
                      <w:color w:val="7A003C"/>
                      <w:sz w:val="18"/>
                      <w:szCs w:val="18"/>
                    </w:rPr>
                    <w:tab/>
                  </w:r>
                  <w:r>
                    <w:rPr>
                      <w:b/>
                      <w:color w:val="262626" w:themeColor="text1" w:themeTint="D9"/>
                      <w:sz w:val="20"/>
                      <w:szCs w:val="20"/>
                    </w:rPr>
                    <w:t>Structure du financement de la CSBM*</w:t>
                  </w:r>
                </w:p>
                <w:p w:rsidR="00144D6D" w:rsidRPr="00987897" w:rsidRDefault="00144D6D" w:rsidP="009B5428">
                  <w:pPr>
                    <w:tabs>
                      <w:tab w:val="left" w:pos="993"/>
                    </w:tabs>
                    <w:spacing w:after="0" w:line="240" w:lineRule="auto"/>
                    <w:ind w:firstLine="708"/>
                    <w:jc w:val="left"/>
                    <w:rPr>
                      <w:i/>
                      <w:color w:val="262626" w:themeColor="text1" w:themeTint="D9"/>
                      <w:sz w:val="18"/>
                      <w:szCs w:val="18"/>
                    </w:rPr>
                  </w:pPr>
                  <w:r>
                    <w:rPr>
                      <w:color w:val="7A003C"/>
                      <w:sz w:val="18"/>
                      <w:szCs w:val="18"/>
                    </w:rPr>
                    <w:tab/>
                  </w:r>
                  <w:r>
                    <w:rPr>
                      <w:i/>
                      <w:color w:val="262626" w:themeColor="text1" w:themeTint="D9"/>
                      <w:sz w:val="18"/>
                      <w:szCs w:val="18"/>
                    </w:rPr>
                    <w:t>En pourcentage de la CSBM</w:t>
                  </w:r>
                </w:p>
                <w:p w:rsidR="00144D6D" w:rsidRPr="00987897" w:rsidRDefault="00144D6D" w:rsidP="009B5428">
                  <w:pPr>
                    <w:rPr>
                      <w:color w:val="7A003C"/>
                      <w:sz w:val="18"/>
                      <w:szCs w:val="18"/>
                    </w:rPr>
                  </w:pPr>
                </w:p>
              </w:txbxContent>
            </v:textbox>
          </v:shape>
        </w:pict>
      </w:r>
    </w:p>
    <w:p w:rsidR="00E27EE8" w:rsidRDefault="00E27EE8" w:rsidP="00E27EE8">
      <w:pPr>
        <w:pStyle w:val="Textedebase"/>
        <w:ind w:left="0" w:right="-3"/>
        <w:jc w:val="left"/>
        <w:rPr>
          <w:color w:val="auto"/>
          <w:szCs w:val="20"/>
        </w:rPr>
      </w:pPr>
      <w:r w:rsidRPr="00FA02B5">
        <w:rPr>
          <w:noProof/>
          <w:color w:val="E36C0A" w:themeColor="accent6" w:themeShade="BF"/>
          <w:szCs w:val="20"/>
          <w:lang w:eastAsia="fr-FR"/>
        </w:rPr>
        <w:drawing>
          <wp:anchor distT="0" distB="0" distL="114300" distR="114300" simplePos="0" relativeHeight="251709440" behindDoc="0" locked="0" layoutInCell="1" allowOverlap="1">
            <wp:simplePos x="0" y="0"/>
            <wp:positionH relativeFrom="column">
              <wp:posOffset>-198755</wp:posOffset>
            </wp:positionH>
            <wp:positionV relativeFrom="paragraph">
              <wp:posOffset>292100</wp:posOffset>
            </wp:positionV>
            <wp:extent cx="3771900" cy="2933700"/>
            <wp:effectExtent l="0" t="0" r="0" b="0"/>
            <wp:wrapNone/>
            <wp:docPr id="4"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E27EE8" w:rsidRDefault="00E27EE8" w:rsidP="00E27EE8">
      <w:pPr>
        <w:pStyle w:val="Textedebase"/>
        <w:ind w:left="0" w:right="-3"/>
        <w:jc w:val="left"/>
        <w:rPr>
          <w:color w:val="auto"/>
          <w:szCs w:val="20"/>
        </w:rPr>
      </w:pPr>
    </w:p>
    <w:p w:rsidR="00E27EE8" w:rsidRDefault="00E27EE8" w:rsidP="00E27EE8">
      <w:pPr>
        <w:pStyle w:val="Textedebase"/>
        <w:ind w:left="0" w:right="-3"/>
        <w:jc w:val="left"/>
        <w:rPr>
          <w:color w:val="auto"/>
          <w:szCs w:val="20"/>
        </w:rPr>
      </w:pPr>
    </w:p>
    <w:p w:rsidR="00E27EE8" w:rsidRDefault="00E27EE8" w:rsidP="00E27EE8">
      <w:pPr>
        <w:pStyle w:val="Textedebase"/>
        <w:ind w:left="0" w:right="-3"/>
        <w:jc w:val="left"/>
        <w:rPr>
          <w:color w:val="auto"/>
          <w:szCs w:val="20"/>
        </w:rPr>
      </w:pPr>
    </w:p>
    <w:p w:rsidR="00E27EE8" w:rsidRDefault="00F86138" w:rsidP="00E27EE8">
      <w:pPr>
        <w:pStyle w:val="Textedebase"/>
        <w:ind w:left="0" w:right="-3"/>
        <w:jc w:val="left"/>
        <w:rPr>
          <w:color w:val="auto"/>
          <w:szCs w:val="20"/>
        </w:rPr>
      </w:pPr>
      <w:r>
        <w:rPr>
          <w:b/>
          <w:noProof/>
          <w:color w:val="auto"/>
          <w:szCs w:val="20"/>
          <w:lang w:eastAsia="fr-FR"/>
        </w:rPr>
        <w:pict>
          <v:shape id="_x0000_s1061" type="#_x0000_t202" style="position:absolute;margin-left:-6.7pt;margin-top:6.65pt;width:221.1pt;height:21.75pt;z-index:251707392;mso-width-relative:margin;mso-height-relative:margin;v-text-anchor:middle" filled="f" stroked="f">
            <v:textbox>
              <w:txbxContent>
                <w:p w:rsidR="00144D6D" w:rsidRPr="009B5428" w:rsidRDefault="00144D6D" w:rsidP="009B5428">
                  <w:pPr>
                    <w:spacing w:after="0" w:line="240" w:lineRule="auto"/>
                    <w:jc w:val="left"/>
                    <w:rPr>
                      <w:color w:val="262626" w:themeColor="text1" w:themeTint="D9"/>
                      <w:sz w:val="18"/>
                      <w:szCs w:val="18"/>
                    </w:rPr>
                  </w:pPr>
                  <w:r w:rsidRPr="009B5428">
                    <w:rPr>
                      <w:color w:val="262626" w:themeColor="text1" w:themeTint="D9"/>
                      <w:sz w:val="18"/>
                      <w:szCs w:val="18"/>
                    </w:rPr>
                    <w:t>Source : Drees (compte</w:t>
                  </w:r>
                  <w:r>
                    <w:rPr>
                      <w:color w:val="262626" w:themeColor="text1" w:themeTint="D9"/>
                      <w:sz w:val="18"/>
                      <w:szCs w:val="18"/>
                    </w:rPr>
                    <w:t>s</w:t>
                  </w:r>
                  <w:r w:rsidRPr="009B5428">
                    <w:rPr>
                      <w:color w:val="262626" w:themeColor="text1" w:themeTint="D9"/>
                      <w:sz w:val="18"/>
                      <w:szCs w:val="18"/>
                    </w:rPr>
                    <w:t xml:space="preserve"> de l</w:t>
                  </w:r>
                  <w:r>
                    <w:rPr>
                      <w:color w:val="262626" w:themeColor="text1" w:themeTint="D9"/>
                      <w:sz w:val="18"/>
                      <w:szCs w:val="18"/>
                    </w:rPr>
                    <w:t>a santé)</w:t>
                  </w:r>
                </w:p>
                <w:p w:rsidR="00144D6D" w:rsidRPr="009B5428" w:rsidRDefault="00144D6D" w:rsidP="009B5428">
                  <w:pPr>
                    <w:jc w:val="left"/>
                    <w:rPr>
                      <w:color w:val="262626" w:themeColor="text1" w:themeTint="D9"/>
                      <w:sz w:val="18"/>
                      <w:szCs w:val="18"/>
                    </w:rPr>
                  </w:pPr>
                </w:p>
              </w:txbxContent>
            </v:textbox>
          </v:shape>
        </w:pict>
      </w:r>
    </w:p>
    <w:p w:rsidR="00E27EE8" w:rsidRDefault="00F86138" w:rsidP="00E27EE8">
      <w:pPr>
        <w:pStyle w:val="Textedebase"/>
        <w:ind w:left="0" w:right="-3"/>
        <w:jc w:val="left"/>
        <w:rPr>
          <w:color w:val="auto"/>
          <w:szCs w:val="20"/>
        </w:rPr>
      </w:pPr>
      <w:r>
        <w:rPr>
          <w:noProof/>
          <w:color w:val="auto"/>
          <w:szCs w:val="20"/>
          <w:lang w:eastAsia="fr-FR"/>
        </w:rPr>
        <w:lastRenderedPageBreak/>
        <w:pict>
          <v:shape id="_x0000_s1093" type="#_x0000_t202" style="position:absolute;margin-left:-7.5pt;margin-top:5.9pt;width:221.1pt;height:28.5pt;z-index:251743232;mso-width-relative:margin;mso-height-relative:margin;v-text-anchor:middle" filled="f" stroked="f">
            <v:textbox style="mso-next-textbox:#_x0000_s1093">
              <w:txbxContent>
                <w:p w:rsidR="00144D6D" w:rsidRDefault="00144D6D" w:rsidP="004D7988">
                  <w:pPr>
                    <w:spacing w:after="0" w:line="240" w:lineRule="auto"/>
                    <w:jc w:val="left"/>
                    <w:rPr>
                      <w:color w:val="262626" w:themeColor="text1" w:themeTint="D9"/>
                      <w:sz w:val="18"/>
                      <w:szCs w:val="18"/>
                    </w:rPr>
                  </w:pPr>
                  <w:r>
                    <w:rPr>
                      <w:color w:val="262626" w:themeColor="text1" w:themeTint="D9"/>
                      <w:sz w:val="18"/>
                      <w:szCs w:val="18"/>
                    </w:rPr>
                    <w:t>* Consommation de soins et de biens médicaux</w:t>
                  </w:r>
                </w:p>
                <w:p w:rsidR="00144D6D" w:rsidRPr="009B5428" w:rsidRDefault="00144D6D" w:rsidP="004D7988">
                  <w:pPr>
                    <w:spacing w:after="0" w:line="240" w:lineRule="auto"/>
                    <w:jc w:val="left"/>
                    <w:rPr>
                      <w:color w:val="262626" w:themeColor="text1" w:themeTint="D9"/>
                      <w:sz w:val="18"/>
                      <w:szCs w:val="18"/>
                    </w:rPr>
                  </w:pPr>
                  <w:r w:rsidRPr="009B5428">
                    <w:rPr>
                      <w:color w:val="262626" w:themeColor="text1" w:themeTint="D9"/>
                      <w:sz w:val="18"/>
                      <w:szCs w:val="18"/>
                    </w:rPr>
                    <w:t>Source : Drees (compte</w:t>
                  </w:r>
                  <w:r>
                    <w:rPr>
                      <w:color w:val="262626" w:themeColor="text1" w:themeTint="D9"/>
                      <w:sz w:val="18"/>
                      <w:szCs w:val="18"/>
                    </w:rPr>
                    <w:t>s</w:t>
                  </w:r>
                  <w:r w:rsidRPr="009B5428">
                    <w:rPr>
                      <w:color w:val="262626" w:themeColor="text1" w:themeTint="D9"/>
                      <w:sz w:val="18"/>
                      <w:szCs w:val="18"/>
                    </w:rPr>
                    <w:t xml:space="preserve"> de l</w:t>
                  </w:r>
                  <w:r>
                    <w:rPr>
                      <w:color w:val="262626" w:themeColor="text1" w:themeTint="D9"/>
                      <w:sz w:val="18"/>
                      <w:szCs w:val="18"/>
                    </w:rPr>
                    <w:t>a santé)</w:t>
                  </w:r>
                </w:p>
                <w:p w:rsidR="00144D6D" w:rsidRPr="009B5428" w:rsidRDefault="00144D6D" w:rsidP="004D7988">
                  <w:pPr>
                    <w:jc w:val="left"/>
                    <w:rPr>
                      <w:color w:val="262626" w:themeColor="text1" w:themeTint="D9"/>
                      <w:sz w:val="18"/>
                      <w:szCs w:val="18"/>
                    </w:rPr>
                  </w:pPr>
                </w:p>
              </w:txbxContent>
            </v:textbox>
          </v:shape>
        </w:pict>
      </w:r>
      <w:r w:rsidR="00FA02B5">
        <w:rPr>
          <w:color w:val="auto"/>
          <w:szCs w:val="20"/>
        </w:rPr>
        <w:t>*</w:t>
      </w:r>
    </w:p>
    <w:p w:rsidR="002A191F" w:rsidRDefault="002A191F" w:rsidP="00E27EE8">
      <w:pPr>
        <w:pStyle w:val="Textedebase"/>
        <w:ind w:left="0" w:right="-3"/>
        <w:jc w:val="left"/>
        <w:rPr>
          <w:color w:val="auto"/>
          <w:szCs w:val="20"/>
        </w:rPr>
      </w:pPr>
    </w:p>
    <w:p w:rsidR="009B5428" w:rsidRPr="0008292A" w:rsidRDefault="009B5428" w:rsidP="00E27EE8">
      <w:pPr>
        <w:pStyle w:val="Textedebase"/>
        <w:ind w:left="0" w:right="-3"/>
        <w:jc w:val="left"/>
        <w:rPr>
          <w:szCs w:val="20"/>
        </w:rPr>
      </w:pPr>
      <w:r w:rsidRPr="0008292A">
        <w:rPr>
          <w:szCs w:val="20"/>
        </w:rPr>
        <w:t>Un retrait progressif de l’</w:t>
      </w:r>
      <w:r w:rsidR="004759CA">
        <w:rPr>
          <w:szCs w:val="20"/>
        </w:rPr>
        <w:t>Assurance maladie</w:t>
      </w:r>
      <w:r w:rsidRPr="0008292A">
        <w:rPr>
          <w:szCs w:val="20"/>
        </w:rPr>
        <w:t xml:space="preserve"> de certaines affections bénignes permettrait notamment de concentrer ses efforts de prise en charge sur les maladies plus affligeantes pour le bien-être des individus, telles les affections de longue durée qui représentent actuellement plus de la moitié des remboursements de l’</w:t>
      </w:r>
      <w:r w:rsidR="004759CA">
        <w:rPr>
          <w:szCs w:val="20"/>
        </w:rPr>
        <w:t>Assurance maladie</w:t>
      </w:r>
      <w:r w:rsidRPr="0008292A">
        <w:rPr>
          <w:szCs w:val="20"/>
        </w:rPr>
        <w:t>.</w:t>
      </w:r>
    </w:p>
    <w:p w:rsidR="002A191F" w:rsidRPr="0008292A" w:rsidRDefault="002A191F" w:rsidP="00E27EE8">
      <w:pPr>
        <w:ind w:left="993" w:right="-3"/>
        <w:jc w:val="left"/>
        <w:rPr>
          <w:color w:val="262626" w:themeColor="text1" w:themeTint="D9"/>
          <w:sz w:val="20"/>
          <w:szCs w:val="20"/>
        </w:rPr>
      </w:pPr>
    </w:p>
    <w:p w:rsidR="009B5428" w:rsidRPr="0008292A" w:rsidRDefault="009B5428" w:rsidP="00E27EE8">
      <w:pPr>
        <w:ind w:left="993" w:right="-3"/>
        <w:jc w:val="left"/>
        <w:rPr>
          <w:color w:val="262626" w:themeColor="text1" w:themeTint="D9"/>
          <w:sz w:val="20"/>
          <w:szCs w:val="20"/>
        </w:rPr>
      </w:pPr>
      <w:r w:rsidRPr="0008292A">
        <w:rPr>
          <w:color w:val="262626" w:themeColor="text1" w:themeTint="D9"/>
          <w:sz w:val="20"/>
          <w:szCs w:val="20"/>
        </w:rPr>
        <w:t xml:space="preserve">Les ménages ne disposant pas des moyens de souscrire une </w:t>
      </w:r>
      <w:r w:rsidR="00D600AC">
        <w:rPr>
          <w:color w:val="262626" w:themeColor="text1" w:themeTint="D9"/>
          <w:sz w:val="20"/>
          <w:szCs w:val="20"/>
        </w:rPr>
        <w:t>assurance complémentaire</w:t>
      </w:r>
      <w:r w:rsidRPr="0008292A">
        <w:rPr>
          <w:color w:val="262626" w:themeColor="text1" w:themeTint="D9"/>
          <w:sz w:val="20"/>
          <w:szCs w:val="20"/>
        </w:rPr>
        <w:t xml:space="preserve"> ne seraient pas pour autant exclus du système en cas de maladies bénignes puisqu’ils restent, quoi qu’il arrive, couverts par une logique de solidarité avec la Couverture maladie universelle (CMU).</w:t>
      </w:r>
    </w:p>
    <w:p w:rsidR="009B5428" w:rsidRDefault="009B5428" w:rsidP="005A1022">
      <w:pPr>
        <w:spacing w:after="120"/>
        <w:rPr>
          <w:color w:val="auto"/>
        </w:rPr>
        <w:sectPr w:rsidR="009B5428" w:rsidSect="00E27EE8">
          <w:type w:val="continuous"/>
          <w:pgSz w:w="11906" w:h="16838"/>
          <w:pgMar w:top="1928" w:right="1418" w:bottom="1135" w:left="993" w:header="709" w:footer="709" w:gutter="0"/>
          <w:cols w:num="2" w:space="708"/>
          <w:docGrid w:linePitch="360"/>
        </w:sectPr>
      </w:pPr>
    </w:p>
    <w:p w:rsidR="009B5428" w:rsidRDefault="009B5428" w:rsidP="00621120">
      <w:pPr>
        <w:spacing w:after="0"/>
        <w:sectPr w:rsidR="009B5428" w:rsidSect="009B5428">
          <w:type w:val="continuous"/>
          <w:pgSz w:w="11906" w:h="16838"/>
          <w:pgMar w:top="1928" w:right="1418" w:bottom="1135" w:left="993" w:header="709" w:footer="709" w:gutter="0"/>
          <w:cols w:num="2" w:space="708"/>
          <w:docGrid w:linePitch="360"/>
        </w:sectPr>
      </w:pPr>
    </w:p>
    <w:p w:rsidR="00621120" w:rsidRDefault="00621120" w:rsidP="008A7365">
      <w:pPr>
        <w:pStyle w:val="Textedebase"/>
        <w:spacing w:after="0" w:line="240" w:lineRule="auto"/>
        <w:ind w:left="0"/>
        <w:jc w:val="left"/>
      </w:pPr>
    </w:p>
    <w:p w:rsidR="00621120" w:rsidRPr="00795970" w:rsidRDefault="00621120" w:rsidP="00621120"/>
    <w:p w:rsidR="00621120" w:rsidRDefault="00621120" w:rsidP="00621120"/>
    <w:p w:rsidR="00E27EE8" w:rsidRDefault="00E27EE8" w:rsidP="00621120"/>
    <w:p w:rsidR="00E27EE8" w:rsidRDefault="00E27EE8" w:rsidP="00621120"/>
    <w:p w:rsidR="00E27EE8" w:rsidRDefault="00F86138" w:rsidP="00621120">
      <w:r>
        <w:rPr>
          <w:b/>
          <w:noProof/>
          <w:color w:val="auto"/>
          <w:sz w:val="20"/>
          <w:szCs w:val="20"/>
          <w:lang w:eastAsia="fr-FR"/>
        </w:rPr>
        <w:pict>
          <v:shape id="_x0000_s1063" type="#_x0000_t202" style="position:absolute;left:0;text-align:left;margin-left:-6.7pt;margin-top:6.6pt;width:221.1pt;height:33pt;z-index:251710464;mso-width-relative:margin;mso-height-relative:margin;v-text-anchor:middle" filled="f" stroked="f">
            <v:textbox>
              <w:txbxContent>
                <w:p w:rsidR="00144D6D" w:rsidRDefault="00144D6D" w:rsidP="00E27EE8">
                  <w:pPr>
                    <w:spacing w:after="0" w:line="240" w:lineRule="auto"/>
                    <w:jc w:val="left"/>
                    <w:rPr>
                      <w:color w:val="262626" w:themeColor="text1" w:themeTint="D9"/>
                      <w:sz w:val="18"/>
                      <w:szCs w:val="18"/>
                    </w:rPr>
                  </w:pPr>
                  <w:r>
                    <w:rPr>
                      <w:color w:val="262626" w:themeColor="text1" w:themeTint="D9"/>
                      <w:sz w:val="18"/>
                      <w:szCs w:val="18"/>
                    </w:rPr>
                    <w:t>* Consommation de soins et de biens médicaux</w:t>
                  </w:r>
                </w:p>
                <w:p w:rsidR="00144D6D" w:rsidRPr="009B5428" w:rsidRDefault="00144D6D" w:rsidP="00E27EE8">
                  <w:pPr>
                    <w:spacing w:after="0" w:line="240" w:lineRule="auto"/>
                    <w:jc w:val="left"/>
                    <w:rPr>
                      <w:color w:val="262626" w:themeColor="text1" w:themeTint="D9"/>
                      <w:sz w:val="18"/>
                      <w:szCs w:val="18"/>
                    </w:rPr>
                  </w:pPr>
                  <w:r w:rsidRPr="009B5428">
                    <w:rPr>
                      <w:color w:val="262626" w:themeColor="text1" w:themeTint="D9"/>
                      <w:sz w:val="18"/>
                      <w:szCs w:val="18"/>
                    </w:rPr>
                    <w:t>Source : Drees (compte</w:t>
                  </w:r>
                  <w:r>
                    <w:rPr>
                      <w:color w:val="262626" w:themeColor="text1" w:themeTint="D9"/>
                      <w:sz w:val="18"/>
                      <w:szCs w:val="18"/>
                    </w:rPr>
                    <w:t>s</w:t>
                  </w:r>
                  <w:r w:rsidRPr="009B5428">
                    <w:rPr>
                      <w:color w:val="262626" w:themeColor="text1" w:themeTint="D9"/>
                      <w:sz w:val="18"/>
                      <w:szCs w:val="18"/>
                    </w:rPr>
                    <w:t xml:space="preserve"> de l</w:t>
                  </w:r>
                  <w:r>
                    <w:rPr>
                      <w:color w:val="262626" w:themeColor="text1" w:themeTint="D9"/>
                      <w:sz w:val="18"/>
                      <w:szCs w:val="18"/>
                    </w:rPr>
                    <w:t>a santé)</w:t>
                  </w:r>
                </w:p>
                <w:p w:rsidR="00144D6D" w:rsidRPr="009B5428" w:rsidRDefault="00144D6D" w:rsidP="00E27EE8">
                  <w:pPr>
                    <w:jc w:val="left"/>
                    <w:rPr>
                      <w:color w:val="262626" w:themeColor="text1" w:themeTint="D9"/>
                      <w:sz w:val="18"/>
                      <w:szCs w:val="18"/>
                    </w:rPr>
                  </w:pPr>
                </w:p>
              </w:txbxContent>
            </v:textbox>
          </v:shape>
        </w:pict>
      </w:r>
    </w:p>
    <w:p w:rsidR="00E27EE8" w:rsidRDefault="00E27EE8" w:rsidP="00621120"/>
    <w:p w:rsidR="00E27EE8" w:rsidRDefault="00F86138" w:rsidP="00621120">
      <w:r>
        <w:rPr>
          <w:noProof/>
          <w:lang w:eastAsia="fr-FR"/>
        </w:rPr>
        <w:lastRenderedPageBreak/>
        <w:pict>
          <v:rect id="_x0000_s1064" style="position:absolute;left:0;text-align:left;margin-left:-52pt;margin-top:-12.15pt;width:600pt;height:655.5pt;z-index:251711488" fillcolor="#f2f2f2 [3052]" strokecolor="#272727 [2749]" strokeweight="1pt">
            <v:stroke dashstyle="1 1" endcap="round"/>
            <v:textbox style="mso-next-textbox:#_x0000_s1064">
              <w:txbxContent>
                <w:p w:rsidR="00144D6D" w:rsidRPr="0008292A" w:rsidRDefault="00144D6D" w:rsidP="0050368F">
                  <w:pPr>
                    <w:pStyle w:val="Textedebase"/>
                    <w:spacing w:before="360"/>
                    <w:ind w:left="992" w:right="176"/>
                    <w:jc w:val="left"/>
                    <w:rPr>
                      <w:b/>
                      <w:sz w:val="22"/>
                      <w:szCs w:val="22"/>
                    </w:rPr>
                  </w:pPr>
                  <w:r w:rsidRPr="009E3627">
                    <w:rPr>
                      <w:color w:val="7A003C"/>
                      <w:sz w:val="18"/>
                      <w:szCs w:val="18"/>
                    </w:rPr>
                    <w:t>Encadré 2.</w:t>
                  </w:r>
                  <w:r>
                    <w:rPr>
                      <w:b/>
                      <w:color w:val="7A003C"/>
                      <w:sz w:val="18"/>
                      <w:szCs w:val="18"/>
                    </w:rPr>
                    <w:tab/>
                  </w:r>
                  <w:r>
                    <w:rPr>
                      <w:b/>
                      <w:color w:val="0D0D0D" w:themeColor="text1" w:themeTint="F2"/>
                      <w:sz w:val="18"/>
                      <w:szCs w:val="18"/>
                    </w:rPr>
                    <w:t xml:space="preserve"> </w:t>
                  </w:r>
                  <w:r w:rsidRPr="0008292A">
                    <w:rPr>
                      <w:b/>
                      <w:szCs w:val="20"/>
                    </w:rPr>
                    <w:t>Les trois grands systèmes de santé</w:t>
                  </w:r>
                  <w:r w:rsidRPr="0008292A">
                    <w:rPr>
                      <w:b/>
                      <w:sz w:val="22"/>
                      <w:szCs w:val="22"/>
                    </w:rPr>
                    <w:t xml:space="preserve"> </w:t>
                  </w:r>
                </w:p>
                <w:p w:rsidR="00144D6D" w:rsidRPr="0008292A" w:rsidRDefault="00144D6D" w:rsidP="00D600AC">
                  <w:pPr>
                    <w:spacing w:after="0"/>
                    <w:ind w:left="992" w:right="1508"/>
                    <w:rPr>
                      <w:color w:val="262626" w:themeColor="text1" w:themeTint="D9"/>
                      <w:sz w:val="18"/>
                      <w:szCs w:val="18"/>
                    </w:rPr>
                  </w:pPr>
                  <w:r w:rsidRPr="0008292A">
                    <w:rPr>
                      <w:color w:val="262626" w:themeColor="text1" w:themeTint="D9"/>
                      <w:sz w:val="18"/>
                      <w:szCs w:val="18"/>
                    </w:rPr>
                    <w:t>Schématiquement, il existe trois grands modèles de protection soci</w:t>
                  </w:r>
                  <w:r w:rsidR="002B4921">
                    <w:rPr>
                      <w:color w:val="262626" w:themeColor="text1" w:themeTint="D9"/>
                      <w:sz w:val="18"/>
                      <w:szCs w:val="18"/>
                    </w:rPr>
                    <w:t>ale : le système bis</w:t>
                  </w:r>
                  <w:r>
                    <w:rPr>
                      <w:color w:val="262626" w:themeColor="text1" w:themeTint="D9"/>
                      <w:sz w:val="18"/>
                      <w:szCs w:val="18"/>
                    </w:rPr>
                    <w:t xml:space="preserve">marckien, le système </w:t>
                  </w:r>
                  <w:proofErr w:type="spellStart"/>
                  <w:r>
                    <w:rPr>
                      <w:color w:val="262626" w:themeColor="text1" w:themeTint="D9"/>
                      <w:sz w:val="18"/>
                      <w:szCs w:val="18"/>
                    </w:rPr>
                    <w:t>béveridgien</w:t>
                  </w:r>
                  <w:proofErr w:type="spellEnd"/>
                  <w:r>
                    <w:rPr>
                      <w:color w:val="262626" w:themeColor="text1" w:themeTint="D9"/>
                      <w:sz w:val="18"/>
                      <w:szCs w:val="18"/>
                    </w:rPr>
                    <w:t> </w:t>
                  </w:r>
                  <w:r w:rsidRPr="0008292A">
                    <w:rPr>
                      <w:color w:val="262626" w:themeColor="text1" w:themeTint="D9"/>
                      <w:sz w:val="18"/>
                      <w:szCs w:val="18"/>
                    </w:rPr>
                    <w:t xml:space="preserve">et le système libéral. </w:t>
                  </w:r>
                </w:p>
                <w:p w:rsidR="00144D6D" w:rsidRPr="0008292A" w:rsidRDefault="002B4921" w:rsidP="00C020D6">
                  <w:pPr>
                    <w:pStyle w:val="Paragraphedeliste"/>
                    <w:numPr>
                      <w:ilvl w:val="0"/>
                      <w:numId w:val="11"/>
                    </w:numPr>
                    <w:spacing w:after="0"/>
                    <w:ind w:right="2628"/>
                    <w:contextualSpacing w:val="0"/>
                    <w:rPr>
                      <w:color w:val="262626" w:themeColor="text1" w:themeTint="D9"/>
                      <w:sz w:val="18"/>
                      <w:szCs w:val="18"/>
                    </w:rPr>
                  </w:pPr>
                  <w:r>
                    <w:rPr>
                      <w:b/>
                      <w:color w:val="7A003C"/>
                      <w:sz w:val="18"/>
                      <w:szCs w:val="18"/>
                    </w:rPr>
                    <w:t>Le système bis</w:t>
                  </w:r>
                  <w:r w:rsidR="00144D6D" w:rsidRPr="0008292A">
                    <w:rPr>
                      <w:b/>
                      <w:color w:val="7A003C"/>
                      <w:sz w:val="18"/>
                      <w:szCs w:val="18"/>
                    </w:rPr>
                    <w:t>marckien</w:t>
                  </w:r>
                  <w:r w:rsidR="00144D6D" w:rsidRPr="0008292A">
                    <w:rPr>
                      <w:color w:val="7A003C"/>
                      <w:sz w:val="18"/>
                      <w:szCs w:val="18"/>
                    </w:rPr>
                    <w:t>,</w:t>
                  </w:r>
                  <w:r w:rsidR="00144D6D" w:rsidRPr="0008292A">
                    <w:rPr>
                      <w:color w:val="262626" w:themeColor="text1" w:themeTint="D9"/>
                      <w:sz w:val="18"/>
                      <w:szCs w:val="18"/>
                    </w:rPr>
                    <w:t xml:space="preserve"> développé en Allemagne par le Chancelier Bismarck en 1883, repose sur une assurance sociale obligatoire couvrant les travailleurs et leurs ayants droits. Le système, organisé en caisses d’assurance, est financé majoritairement par des cotisations sociales proportionnelles aux salaires. Dans le système bismarckien d’origine, ces cotisations sont supportées à parts égales par les salariés et leurs employeurs. </w:t>
                  </w:r>
                </w:p>
                <w:p w:rsidR="00144D6D" w:rsidRPr="0008292A" w:rsidRDefault="00144D6D" w:rsidP="00C020D6">
                  <w:pPr>
                    <w:pStyle w:val="Paragraphedeliste"/>
                    <w:numPr>
                      <w:ilvl w:val="0"/>
                      <w:numId w:val="11"/>
                    </w:numPr>
                    <w:spacing w:after="0"/>
                    <w:ind w:right="2628"/>
                    <w:contextualSpacing w:val="0"/>
                    <w:rPr>
                      <w:color w:val="262626" w:themeColor="text1" w:themeTint="D9"/>
                      <w:sz w:val="18"/>
                      <w:szCs w:val="18"/>
                    </w:rPr>
                  </w:pPr>
                  <w:r w:rsidRPr="0008292A">
                    <w:rPr>
                      <w:b/>
                      <w:color w:val="7A003C"/>
                      <w:sz w:val="18"/>
                      <w:szCs w:val="18"/>
                    </w:rPr>
                    <w:t xml:space="preserve">Le système </w:t>
                  </w:r>
                  <w:proofErr w:type="spellStart"/>
                  <w:r w:rsidRPr="0008292A">
                    <w:rPr>
                      <w:b/>
                      <w:color w:val="7A003C"/>
                      <w:sz w:val="18"/>
                      <w:szCs w:val="18"/>
                    </w:rPr>
                    <w:t>béveridgien</w:t>
                  </w:r>
                  <w:proofErr w:type="spellEnd"/>
                  <w:r>
                    <w:rPr>
                      <w:color w:val="7A003C"/>
                      <w:sz w:val="18"/>
                      <w:szCs w:val="18"/>
                    </w:rPr>
                    <w:t xml:space="preserve"> </w:t>
                  </w:r>
                  <w:r w:rsidRPr="00D600AC">
                    <w:rPr>
                      <w:color w:val="262626" w:themeColor="text1" w:themeTint="D9"/>
                      <w:sz w:val="18"/>
                      <w:szCs w:val="18"/>
                    </w:rPr>
                    <w:t>a été</w:t>
                  </w:r>
                  <w:r w:rsidRPr="0008292A">
                    <w:rPr>
                      <w:color w:val="262626" w:themeColor="text1" w:themeTint="D9"/>
                      <w:sz w:val="18"/>
                      <w:szCs w:val="18"/>
                    </w:rPr>
                    <w:t xml:space="preserve"> déployé en Grande Bretagne en 1945 suite aux propositions de l’économiste et ho</w:t>
                  </w:r>
                  <w:r>
                    <w:rPr>
                      <w:color w:val="262626" w:themeColor="text1" w:themeTint="D9"/>
                      <w:sz w:val="18"/>
                      <w:szCs w:val="18"/>
                    </w:rPr>
                    <w:t>mme politique William Beveridge. Il</w:t>
                  </w:r>
                  <w:r w:rsidRPr="0008292A">
                    <w:rPr>
                      <w:color w:val="262626" w:themeColor="text1" w:themeTint="D9"/>
                      <w:sz w:val="18"/>
                      <w:szCs w:val="18"/>
                    </w:rPr>
                    <w:t xml:space="preserve"> repose sur un pri</w:t>
                  </w:r>
                  <w:r>
                    <w:rPr>
                      <w:color w:val="262626" w:themeColor="text1" w:themeTint="D9"/>
                      <w:sz w:val="18"/>
                      <w:szCs w:val="18"/>
                    </w:rPr>
                    <w:t xml:space="preserve">ncipe d’universalité et couvre uniformément </w:t>
                  </w:r>
                  <w:r w:rsidRPr="0008292A">
                    <w:rPr>
                      <w:color w:val="262626" w:themeColor="text1" w:themeTint="D9"/>
                      <w:sz w:val="18"/>
                      <w:szCs w:val="18"/>
                    </w:rPr>
                    <w:t xml:space="preserve">l’ensemble de la population sans considération de statut. Le système est financé par </w:t>
                  </w:r>
                  <w:r>
                    <w:rPr>
                      <w:color w:val="262626" w:themeColor="text1" w:themeTint="D9"/>
                      <w:sz w:val="18"/>
                      <w:szCs w:val="18"/>
                    </w:rPr>
                    <w:t>toute</w:t>
                  </w:r>
                  <w:r w:rsidRPr="0008292A">
                    <w:rPr>
                      <w:color w:val="262626" w:themeColor="text1" w:themeTint="D9"/>
                      <w:sz w:val="18"/>
                      <w:szCs w:val="18"/>
                    </w:rPr>
                    <w:t xml:space="preserve"> la société </w:t>
                  </w:r>
                  <w:r w:rsidRPr="0008292A">
                    <w:rPr>
                      <w:i/>
                      <w:color w:val="262626" w:themeColor="text1" w:themeTint="D9"/>
                      <w:sz w:val="18"/>
                      <w:szCs w:val="18"/>
                    </w:rPr>
                    <w:t>via</w:t>
                  </w:r>
                  <w:r w:rsidRPr="0008292A">
                    <w:rPr>
                      <w:color w:val="262626" w:themeColor="text1" w:themeTint="D9"/>
                      <w:sz w:val="18"/>
                      <w:szCs w:val="18"/>
                    </w:rPr>
                    <w:t xml:space="preserve"> l’imp</w:t>
                  </w:r>
                  <w:bookmarkStart w:id="7" w:name="_GoBack"/>
                  <w:bookmarkEnd w:id="7"/>
                  <w:r w:rsidRPr="0008292A">
                    <w:rPr>
                      <w:color w:val="262626" w:themeColor="text1" w:themeTint="D9"/>
                      <w:sz w:val="18"/>
                      <w:szCs w:val="18"/>
                    </w:rPr>
                    <w:t>ôt.</w:t>
                  </w:r>
                </w:p>
                <w:p w:rsidR="00144D6D" w:rsidRPr="0008292A" w:rsidRDefault="00144D6D" w:rsidP="00C020D6">
                  <w:pPr>
                    <w:pStyle w:val="Paragraphedeliste"/>
                    <w:numPr>
                      <w:ilvl w:val="0"/>
                      <w:numId w:val="11"/>
                    </w:numPr>
                    <w:spacing w:after="0"/>
                    <w:ind w:right="2628"/>
                    <w:contextualSpacing w:val="0"/>
                    <w:rPr>
                      <w:color w:val="262626" w:themeColor="text1" w:themeTint="D9"/>
                      <w:sz w:val="18"/>
                      <w:szCs w:val="18"/>
                    </w:rPr>
                  </w:pPr>
                  <w:r w:rsidRPr="0008292A">
                    <w:rPr>
                      <w:b/>
                      <w:color w:val="7A003C"/>
                      <w:sz w:val="18"/>
                      <w:szCs w:val="18"/>
                    </w:rPr>
                    <w:t>Le système libéral</w:t>
                  </w:r>
                  <w:r w:rsidRPr="0008292A">
                    <w:rPr>
                      <w:color w:val="7A003C"/>
                      <w:sz w:val="18"/>
                      <w:szCs w:val="18"/>
                    </w:rPr>
                    <w:t>,</w:t>
                  </w:r>
                  <w:r w:rsidRPr="0008292A">
                    <w:rPr>
                      <w:color w:val="262626" w:themeColor="text1" w:themeTint="D9"/>
                      <w:sz w:val="18"/>
                      <w:szCs w:val="18"/>
                    </w:rPr>
                    <w:t xml:space="preserve"> développé aux Etats-Unis, repose sur la liberté de choix des individus. Chaque personne est libre de contracter ou non une assurance. Le choix de la </w:t>
                  </w:r>
                  <w:r>
                    <w:rPr>
                      <w:color w:val="262626" w:themeColor="text1" w:themeTint="D9"/>
                      <w:sz w:val="18"/>
                      <w:szCs w:val="18"/>
                    </w:rPr>
                    <w:t>compagnie</w:t>
                  </w:r>
                  <w:r w:rsidRPr="0008292A">
                    <w:rPr>
                      <w:color w:val="262626" w:themeColor="text1" w:themeTint="D9"/>
                      <w:sz w:val="18"/>
                      <w:szCs w:val="18"/>
                    </w:rPr>
                    <w:t xml:space="preserve"> d’assurance et du niveau de couverture est également libre.</w:t>
                  </w:r>
                  <w:r>
                    <w:rPr>
                      <w:color w:val="262626" w:themeColor="text1" w:themeTint="D9"/>
                      <w:sz w:val="18"/>
                      <w:szCs w:val="18"/>
                    </w:rPr>
                    <w:t xml:space="preserve"> La couverture publique est minimale.</w:t>
                  </w:r>
                </w:p>
                <w:p w:rsidR="00144D6D" w:rsidRPr="0008292A" w:rsidRDefault="00144D6D" w:rsidP="00A51C03">
                  <w:pPr>
                    <w:pStyle w:val="Paragraphedeliste"/>
                    <w:spacing w:after="0"/>
                    <w:ind w:left="1778" w:right="3351"/>
                    <w:contextualSpacing w:val="0"/>
                    <w:rPr>
                      <w:color w:val="262626" w:themeColor="text1" w:themeTint="D9"/>
                      <w:sz w:val="18"/>
                      <w:szCs w:val="18"/>
                    </w:rPr>
                  </w:pPr>
                </w:p>
                <w:p w:rsidR="00144D6D" w:rsidRPr="0008292A" w:rsidRDefault="00144D6D" w:rsidP="00A51C03">
                  <w:pPr>
                    <w:spacing w:after="120"/>
                    <w:ind w:left="992" w:right="1508"/>
                    <w:rPr>
                      <w:color w:val="262626" w:themeColor="text1" w:themeTint="D9"/>
                      <w:sz w:val="18"/>
                      <w:szCs w:val="18"/>
                    </w:rPr>
                  </w:pPr>
                  <w:r w:rsidRPr="0008292A">
                    <w:rPr>
                      <w:color w:val="262626" w:themeColor="text1" w:themeTint="D9"/>
                      <w:sz w:val="18"/>
                      <w:szCs w:val="18"/>
                    </w:rPr>
                    <w:t xml:space="preserve">Chaque système national de santé s’est développé autour d’un de ces trois modèles. L’Allemagne, la France et le Benelux relèvent traditionnellement du modèle bismarckien. Le Royaume-Uni, l’Europe du Sud et les pays nordiques relèvent du système </w:t>
                  </w:r>
                  <w:proofErr w:type="spellStart"/>
                  <w:r w:rsidRPr="0008292A">
                    <w:rPr>
                      <w:color w:val="262626" w:themeColor="text1" w:themeTint="D9"/>
                      <w:sz w:val="18"/>
                      <w:szCs w:val="18"/>
                    </w:rPr>
                    <w:t>béveridgien</w:t>
                  </w:r>
                  <w:proofErr w:type="spellEnd"/>
                  <w:r w:rsidRPr="0008292A">
                    <w:rPr>
                      <w:color w:val="262626" w:themeColor="text1" w:themeTint="D9"/>
                      <w:sz w:val="18"/>
                      <w:szCs w:val="18"/>
                    </w:rPr>
                    <w:t xml:space="preserve">. Les Etats-Unis et le Japon sont </w:t>
                  </w:r>
                  <w:r>
                    <w:rPr>
                      <w:color w:val="262626" w:themeColor="text1" w:themeTint="D9"/>
                      <w:sz w:val="18"/>
                      <w:szCs w:val="18"/>
                    </w:rPr>
                    <w:t xml:space="preserve">quant à </w:t>
                  </w:r>
                  <w:r w:rsidRPr="0008292A">
                    <w:rPr>
                      <w:color w:val="262626" w:themeColor="text1" w:themeTint="D9"/>
                      <w:sz w:val="18"/>
                      <w:szCs w:val="18"/>
                    </w:rPr>
                    <w:t>eux dotés d’un système libéral.</w:t>
                  </w:r>
                </w:p>
                <w:p w:rsidR="00144D6D" w:rsidRPr="0008292A" w:rsidRDefault="00144D6D" w:rsidP="00A51C03">
                  <w:pPr>
                    <w:spacing w:after="120"/>
                    <w:ind w:left="992" w:right="1508"/>
                    <w:rPr>
                      <w:color w:val="262626" w:themeColor="text1" w:themeTint="D9"/>
                      <w:sz w:val="18"/>
                      <w:szCs w:val="18"/>
                    </w:rPr>
                  </w:pPr>
                  <w:r w:rsidRPr="0008292A">
                    <w:rPr>
                      <w:color w:val="262626" w:themeColor="text1" w:themeTint="D9"/>
                      <w:sz w:val="18"/>
                      <w:szCs w:val="18"/>
                    </w:rPr>
                    <w:t xml:space="preserve">Aujourd’hui, les pays tendent cependant à emprunter de plus en plus d’éléments provenant indifféremment de ces trois modèles en vue de corriger les défauts inhérents à leur système de protection sociale : déficit des comptes pour le système bismarckien ; listes d’attente pour le système </w:t>
                  </w:r>
                  <w:proofErr w:type="spellStart"/>
                  <w:r w:rsidRPr="0008292A">
                    <w:rPr>
                      <w:color w:val="262626" w:themeColor="text1" w:themeTint="D9"/>
                      <w:sz w:val="18"/>
                      <w:szCs w:val="18"/>
                    </w:rPr>
                    <w:t>béveridgien</w:t>
                  </w:r>
                  <w:proofErr w:type="spellEnd"/>
                  <w:r w:rsidRPr="0008292A">
                    <w:rPr>
                      <w:color w:val="262626" w:themeColor="text1" w:themeTint="D9"/>
                      <w:sz w:val="18"/>
                      <w:szCs w:val="18"/>
                    </w:rPr>
                    <w:t> ; et exclusion des individus les plus démunis pour le système libéral.</w:t>
                  </w:r>
                </w:p>
                <w:p w:rsidR="00144D6D" w:rsidRPr="0008292A" w:rsidRDefault="00144D6D" w:rsidP="00A51C03">
                  <w:pPr>
                    <w:spacing w:after="120"/>
                    <w:ind w:left="992" w:right="1508"/>
                    <w:rPr>
                      <w:color w:val="262626" w:themeColor="text1" w:themeTint="D9"/>
                      <w:sz w:val="18"/>
                      <w:szCs w:val="18"/>
                    </w:rPr>
                  </w:pPr>
                  <w:r w:rsidRPr="0008292A">
                    <w:rPr>
                      <w:color w:val="262626" w:themeColor="text1" w:themeTint="D9"/>
                      <w:sz w:val="18"/>
                      <w:szCs w:val="18"/>
                    </w:rPr>
                    <w:t xml:space="preserve">Les systèmes de santé </w:t>
                  </w:r>
                  <w:r>
                    <w:rPr>
                      <w:color w:val="262626" w:themeColor="text1" w:themeTint="D9"/>
                      <w:sz w:val="18"/>
                      <w:szCs w:val="18"/>
                    </w:rPr>
                    <w:t>tendent ainsi à devenir un mix</w:t>
                  </w:r>
                  <w:r w:rsidRPr="0008292A">
                    <w:rPr>
                      <w:color w:val="262626" w:themeColor="text1" w:themeTint="D9"/>
                      <w:sz w:val="18"/>
                      <w:szCs w:val="18"/>
                    </w:rPr>
                    <w:t>, plus ou moins fort selon les pays, des trois modèles originaux. En France par exemple, le système de soins est centré sur l’</w:t>
                  </w:r>
                  <w:r>
                    <w:rPr>
                      <w:color w:val="262626" w:themeColor="text1" w:themeTint="D9"/>
                      <w:sz w:val="18"/>
                      <w:szCs w:val="18"/>
                    </w:rPr>
                    <w:t>Assurance maladie</w:t>
                  </w:r>
                  <w:r w:rsidRPr="0008292A">
                    <w:rPr>
                      <w:color w:val="262626" w:themeColor="text1" w:themeTint="D9"/>
                      <w:sz w:val="18"/>
                      <w:szCs w:val="18"/>
                    </w:rPr>
                    <w:t>, issue du modèle bismarckien. Autour de l’</w:t>
                  </w:r>
                  <w:r>
                    <w:rPr>
                      <w:color w:val="262626" w:themeColor="text1" w:themeTint="D9"/>
                      <w:sz w:val="18"/>
                      <w:szCs w:val="18"/>
                    </w:rPr>
                    <w:t>Assurance maladie</w:t>
                  </w:r>
                  <w:r w:rsidRPr="0008292A">
                    <w:rPr>
                      <w:color w:val="262626" w:themeColor="text1" w:themeTint="D9"/>
                      <w:sz w:val="18"/>
                      <w:szCs w:val="18"/>
                    </w:rPr>
                    <w:t xml:space="preserve"> gravite le système de la CMU, inspiré du modèle </w:t>
                  </w:r>
                  <w:proofErr w:type="spellStart"/>
                  <w:r w:rsidRPr="0008292A">
                    <w:rPr>
                      <w:color w:val="262626" w:themeColor="text1" w:themeTint="D9"/>
                      <w:sz w:val="18"/>
                      <w:szCs w:val="18"/>
                    </w:rPr>
                    <w:t>béveridgien</w:t>
                  </w:r>
                  <w:proofErr w:type="spellEnd"/>
                  <w:r w:rsidRPr="0008292A">
                    <w:rPr>
                      <w:color w:val="262626" w:themeColor="text1" w:themeTint="D9"/>
                      <w:sz w:val="18"/>
                      <w:szCs w:val="18"/>
                    </w:rPr>
                    <w:t>, et le système de la protection privée assurée par les complémentaires, qui lui relève du modèle libéral.</w:t>
                  </w:r>
                </w:p>
                <w:p w:rsidR="00144D6D" w:rsidRPr="00566B42" w:rsidRDefault="00144D6D" w:rsidP="0050368F">
                  <w:pPr>
                    <w:spacing w:after="120"/>
                    <w:ind w:left="992" w:right="1508"/>
                    <w:jc w:val="left"/>
                    <w:rPr>
                      <w:color w:val="auto"/>
                      <w:sz w:val="18"/>
                      <w:szCs w:val="18"/>
                    </w:rPr>
                  </w:pPr>
                </w:p>
                <w:p w:rsidR="00144D6D" w:rsidRPr="0008292A" w:rsidRDefault="00144D6D" w:rsidP="002A191F">
                  <w:pPr>
                    <w:tabs>
                      <w:tab w:val="left" w:pos="1985"/>
                    </w:tabs>
                    <w:spacing w:after="0" w:line="288" w:lineRule="auto"/>
                    <w:ind w:left="992" w:right="1792"/>
                    <w:jc w:val="left"/>
                    <w:rPr>
                      <w:b/>
                      <w:color w:val="0D0D0D" w:themeColor="text1" w:themeTint="F2"/>
                      <w:sz w:val="18"/>
                      <w:szCs w:val="18"/>
                    </w:rPr>
                  </w:pPr>
                  <w:r w:rsidRPr="0050368F">
                    <w:rPr>
                      <w:color w:val="7A003C"/>
                      <w:sz w:val="18"/>
                      <w:szCs w:val="18"/>
                    </w:rPr>
                    <w:t>Schéma 1.</w:t>
                  </w:r>
                  <w:r>
                    <w:rPr>
                      <w:b/>
                      <w:color w:val="262626" w:themeColor="text1" w:themeTint="D9"/>
                      <w:sz w:val="18"/>
                      <w:szCs w:val="18"/>
                    </w:rPr>
                    <w:t xml:space="preserve"> </w:t>
                  </w:r>
                  <w:r>
                    <w:rPr>
                      <w:b/>
                      <w:color w:val="262626" w:themeColor="text1" w:themeTint="D9"/>
                      <w:sz w:val="18"/>
                      <w:szCs w:val="18"/>
                    </w:rPr>
                    <w:tab/>
                  </w:r>
                  <w:r w:rsidRPr="0008292A">
                    <w:rPr>
                      <w:b/>
                      <w:color w:val="0D0D0D" w:themeColor="text1" w:themeTint="F2"/>
                      <w:sz w:val="18"/>
                      <w:szCs w:val="18"/>
                    </w:rPr>
                    <w:t>Le syst</w:t>
                  </w:r>
                  <w:r>
                    <w:rPr>
                      <w:b/>
                      <w:color w:val="0D0D0D" w:themeColor="text1" w:themeTint="F2"/>
                      <w:sz w:val="18"/>
                      <w:szCs w:val="18"/>
                    </w:rPr>
                    <w:t xml:space="preserve">ème de santé français : 60% bismarckien – 20% </w:t>
                  </w:r>
                  <w:proofErr w:type="spellStart"/>
                  <w:r>
                    <w:rPr>
                      <w:b/>
                      <w:color w:val="0D0D0D" w:themeColor="text1" w:themeTint="F2"/>
                      <w:sz w:val="18"/>
                      <w:szCs w:val="18"/>
                    </w:rPr>
                    <w:t>béveridgien</w:t>
                  </w:r>
                  <w:proofErr w:type="spellEnd"/>
                  <w:r>
                    <w:rPr>
                      <w:b/>
                      <w:color w:val="0D0D0D" w:themeColor="text1" w:themeTint="F2"/>
                      <w:sz w:val="18"/>
                      <w:szCs w:val="18"/>
                    </w:rPr>
                    <w:t> –</w:t>
                  </w:r>
                  <w:r w:rsidRPr="0008292A">
                    <w:rPr>
                      <w:b/>
                      <w:color w:val="0D0D0D" w:themeColor="text1" w:themeTint="F2"/>
                      <w:sz w:val="18"/>
                      <w:szCs w:val="18"/>
                    </w:rPr>
                    <w:t xml:space="preserve"> 20% libéral</w:t>
                  </w:r>
                </w:p>
                <w:p w:rsidR="00144D6D" w:rsidRPr="0050368F" w:rsidRDefault="00144D6D" w:rsidP="002A191F">
                  <w:pPr>
                    <w:spacing w:after="0" w:line="288" w:lineRule="auto"/>
                    <w:ind w:left="992" w:right="1792"/>
                    <w:jc w:val="left"/>
                    <w:rPr>
                      <w:b/>
                      <w:color w:val="262626" w:themeColor="text1" w:themeTint="D9"/>
                      <w:sz w:val="18"/>
                      <w:szCs w:val="18"/>
                    </w:rPr>
                  </w:pPr>
                  <w:r w:rsidRPr="002A191F">
                    <w:rPr>
                      <w:noProof/>
                      <w:lang w:eastAsia="fr-FR"/>
                    </w:rPr>
                    <w:drawing>
                      <wp:inline distT="0" distB="0" distL="0" distR="0">
                        <wp:extent cx="3743325" cy="2533650"/>
                        <wp:effectExtent l="0" t="0" r="0" b="0"/>
                        <wp:docPr id="3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srcRect/>
                                <a:stretch>
                                  <a:fillRect/>
                                </a:stretch>
                              </pic:blipFill>
                              <pic:spPr bwMode="auto">
                                <a:xfrm>
                                  <a:off x="0" y="0"/>
                                  <a:ext cx="3743325" cy="2533650"/>
                                </a:xfrm>
                                <a:prstGeom prst="rect">
                                  <a:avLst/>
                                </a:prstGeom>
                                <a:noFill/>
                                <a:ln w="9525">
                                  <a:noFill/>
                                  <a:miter lim="800000"/>
                                  <a:headEnd/>
                                  <a:tailEnd/>
                                </a:ln>
                              </pic:spPr>
                            </pic:pic>
                          </a:graphicData>
                        </a:graphic>
                      </wp:inline>
                    </w:drawing>
                  </w:r>
                </w:p>
              </w:txbxContent>
            </v:textbox>
          </v:rect>
        </w:pict>
      </w:r>
    </w:p>
    <w:p w:rsidR="00E27EE8" w:rsidRDefault="00E27EE8" w:rsidP="00621120"/>
    <w:p w:rsidR="00E27EE8" w:rsidRDefault="00E27EE8" w:rsidP="00621120"/>
    <w:p w:rsidR="0050368F" w:rsidRDefault="0050368F" w:rsidP="00621120"/>
    <w:p w:rsidR="0050368F" w:rsidRDefault="0050368F" w:rsidP="00621120"/>
    <w:p w:rsidR="0050368F" w:rsidRDefault="0050368F" w:rsidP="00621120"/>
    <w:p w:rsidR="00621120" w:rsidRDefault="00621120" w:rsidP="00621120">
      <w:pPr>
        <w:rPr>
          <w:color w:val="0D0D0D" w:themeColor="text1" w:themeTint="F2"/>
        </w:rPr>
      </w:pPr>
    </w:p>
    <w:p w:rsidR="00EC662D" w:rsidRDefault="00EC662D" w:rsidP="00621120">
      <w:pPr>
        <w:rPr>
          <w:color w:val="0D0D0D" w:themeColor="text1" w:themeTint="F2"/>
        </w:rPr>
      </w:pPr>
    </w:p>
    <w:p w:rsidR="0050368F" w:rsidRDefault="0050368F" w:rsidP="00621120">
      <w:pPr>
        <w:rPr>
          <w:b/>
          <w:color w:val="0D0D0D" w:themeColor="text1" w:themeTint="F2"/>
        </w:rPr>
      </w:pPr>
    </w:p>
    <w:p w:rsidR="0050368F" w:rsidRDefault="0050368F" w:rsidP="00621120">
      <w:pPr>
        <w:rPr>
          <w:b/>
          <w:color w:val="0D0D0D" w:themeColor="text1" w:themeTint="F2"/>
        </w:rPr>
      </w:pPr>
    </w:p>
    <w:p w:rsidR="0050368F" w:rsidRDefault="0050368F" w:rsidP="00621120">
      <w:pPr>
        <w:rPr>
          <w:b/>
          <w:color w:val="0D0D0D" w:themeColor="text1" w:themeTint="F2"/>
        </w:rPr>
      </w:pPr>
    </w:p>
    <w:p w:rsidR="0050368F" w:rsidRDefault="0050368F" w:rsidP="00621120">
      <w:pPr>
        <w:rPr>
          <w:b/>
          <w:color w:val="0D0D0D" w:themeColor="text1" w:themeTint="F2"/>
        </w:rPr>
      </w:pPr>
    </w:p>
    <w:p w:rsidR="0050368F" w:rsidRDefault="0050368F" w:rsidP="00621120">
      <w:pPr>
        <w:rPr>
          <w:b/>
          <w:color w:val="0D0D0D" w:themeColor="text1" w:themeTint="F2"/>
        </w:rPr>
      </w:pPr>
    </w:p>
    <w:p w:rsidR="0050368F" w:rsidRDefault="0050368F" w:rsidP="00621120">
      <w:pPr>
        <w:rPr>
          <w:b/>
          <w:color w:val="0D0D0D" w:themeColor="text1" w:themeTint="F2"/>
        </w:rPr>
      </w:pPr>
    </w:p>
    <w:p w:rsidR="0050368F" w:rsidRDefault="0050368F" w:rsidP="00621120">
      <w:pPr>
        <w:rPr>
          <w:b/>
          <w:color w:val="0D0D0D" w:themeColor="text1" w:themeTint="F2"/>
        </w:rPr>
      </w:pPr>
    </w:p>
    <w:p w:rsidR="0050368F" w:rsidRDefault="0050368F" w:rsidP="00621120">
      <w:pPr>
        <w:rPr>
          <w:b/>
          <w:color w:val="0D0D0D" w:themeColor="text1" w:themeTint="F2"/>
        </w:rPr>
      </w:pPr>
    </w:p>
    <w:p w:rsidR="0050368F" w:rsidRDefault="0050368F" w:rsidP="00621120">
      <w:pPr>
        <w:rPr>
          <w:b/>
          <w:color w:val="0D0D0D" w:themeColor="text1" w:themeTint="F2"/>
        </w:rPr>
      </w:pPr>
    </w:p>
    <w:p w:rsidR="0050368F" w:rsidRDefault="0050368F" w:rsidP="00621120">
      <w:pPr>
        <w:rPr>
          <w:b/>
          <w:color w:val="0D0D0D" w:themeColor="text1" w:themeTint="F2"/>
        </w:rPr>
      </w:pPr>
    </w:p>
    <w:p w:rsidR="0050368F" w:rsidRDefault="00F86138" w:rsidP="00621120">
      <w:pPr>
        <w:rPr>
          <w:b/>
          <w:color w:val="0D0D0D" w:themeColor="text1" w:themeTint="F2"/>
        </w:rPr>
      </w:pPr>
      <w:r>
        <w:rPr>
          <w:b/>
          <w:noProof/>
          <w:color w:val="0D0D0D" w:themeColor="text1" w:themeTint="F2"/>
          <w:lang w:eastAsia="fr-FR"/>
        </w:rPr>
        <w:pict>
          <v:shape id="_x0000_s1065" type="#_x0000_t202" style="position:absolute;left:0;text-align:left;margin-left:315.6pt;margin-top:2.8pt;width:154.7pt;height:173.25pt;z-index:251712512" filled="f" stroked="f">
            <v:textbox>
              <w:txbxContent>
                <w:p w:rsidR="00144D6D" w:rsidRPr="0008292A" w:rsidRDefault="00144D6D" w:rsidP="002A191F">
                  <w:pPr>
                    <w:spacing w:after="120" w:line="240" w:lineRule="auto"/>
                    <w:rPr>
                      <w:b/>
                      <w:i/>
                      <w:color w:val="262626" w:themeColor="text1" w:themeTint="D9"/>
                      <w:sz w:val="18"/>
                      <w:szCs w:val="18"/>
                    </w:rPr>
                  </w:pPr>
                  <w:r w:rsidRPr="0008292A">
                    <w:rPr>
                      <w:b/>
                      <w:i/>
                      <w:color w:val="262626" w:themeColor="text1" w:themeTint="D9"/>
                      <w:sz w:val="18"/>
                      <w:szCs w:val="18"/>
                    </w:rPr>
                    <w:t>Nos indicateurs</w:t>
                  </w:r>
                </w:p>
                <w:p w:rsidR="00144D6D" w:rsidRPr="0008292A" w:rsidRDefault="00144D6D" w:rsidP="00A51C03">
                  <w:pPr>
                    <w:spacing w:after="120" w:line="240" w:lineRule="auto"/>
                    <w:rPr>
                      <w:i/>
                      <w:color w:val="262626" w:themeColor="text1" w:themeTint="D9"/>
                      <w:sz w:val="18"/>
                      <w:szCs w:val="18"/>
                    </w:rPr>
                  </w:pPr>
                  <w:proofErr w:type="spellStart"/>
                  <w:r w:rsidRPr="0008292A">
                    <w:rPr>
                      <w:i/>
                      <w:color w:val="262626" w:themeColor="text1" w:themeTint="D9"/>
                      <w:sz w:val="18"/>
                      <w:szCs w:val="18"/>
                    </w:rPr>
                    <w:t>Syst</w:t>
                  </w:r>
                  <w:proofErr w:type="spellEnd"/>
                  <w:r w:rsidRPr="0008292A">
                    <w:rPr>
                      <w:i/>
                      <w:color w:val="262626" w:themeColor="text1" w:themeTint="D9"/>
                      <w:sz w:val="18"/>
                      <w:szCs w:val="18"/>
                    </w:rPr>
                    <w:t xml:space="preserve">. </w:t>
                  </w:r>
                  <w:proofErr w:type="gramStart"/>
                  <w:r w:rsidRPr="0008292A">
                    <w:rPr>
                      <w:i/>
                      <w:color w:val="262626" w:themeColor="text1" w:themeTint="D9"/>
                      <w:sz w:val="18"/>
                      <w:szCs w:val="18"/>
                    </w:rPr>
                    <w:t>bismarckien</w:t>
                  </w:r>
                  <w:proofErr w:type="gramEnd"/>
                  <w:r w:rsidRPr="0008292A">
                    <w:rPr>
                      <w:i/>
                      <w:color w:val="262626" w:themeColor="text1" w:themeTint="D9"/>
                      <w:sz w:val="18"/>
                      <w:szCs w:val="18"/>
                    </w:rPr>
                    <w:t> : % des dépenses de l’</w:t>
                  </w:r>
                  <w:r>
                    <w:rPr>
                      <w:i/>
                      <w:color w:val="262626" w:themeColor="text1" w:themeTint="D9"/>
                      <w:sz w:val="18"/>
                      <w:szCs w:val="18"/>
                    </w:rPr>
                    <w:t>Assurance maladie</w:t>
                  </w:r>
                  <w:r w:rsidRPr="0008292A">
                    <w:rPr>
                      <w:i/>
                      <w:color w:val="262626" w:themeColor="text1" w:themeTint="D9"/>
                      <w:sz w:val="18"/>
                      <w:szCs w:val="18"/>
                    </w:rPr>
                    <w:t xml:space="preserve"> provenant des cotisations sociales et de la CSG sur les revenus d’activité.</w:t>
                  </w:r>
                </w:p>
                <w:p w:rsidR="00144D6D" w:rsidRPr="0008292A" w:rsidRDefault="00144D6D" w:rsidP="00A51C03">
                  <w:pPr>
                    <w:spacing w:after="120" w:line="240" w:lineRule="auto"/>
                    <w:rPr>
                      <w:i/>
                      <w:color w:val="262626" w:themeColor="text1" w:themeTint="D9"/>
                      <w:sz w:val="18"/>
                      <w:szCs w:val="18"/>
                    </w:rPr>
                  </w:pPr>
                  <w:proofErr w:type="spellStart"/>
                  <w:r w:rsidRPr="0008292A">
                    <w:rPr>
                      <w:i/>
                      <w:color w:val="262626" w:themeColor="text1" w:themeTint="D9"/>
                      <w:sz w:val="18"/>
                      <w:szCs w:val="18"/>
                    </w:rPr>
                    <w:t>Syst</w:t>
                  </w:r>
                  <w:proofErr w:type="spellEnd"/>
                  <w:r w:rsidRPr="0008292A">
                    <w:rPr>
                      <w:i/>
                      <w:color w:val="262626" w:themeColor="text1" w:themeTint="D9"/>
                      <w:sz w:val="18"/>
                      <w:szCs w:val="18"/>
                    </w:rPr>
                    <w:t xml:space="preserve">. </w:t>
                  </w:r>
                  <w:proofErr w:type="spellStart"/>
                  <w:proofErr w:type="gramStart"/>
                  <w:r w:rsidRPr="0008292A">
                    <w:rPr>
                      <w:i/>
                      <w:color w:val="262626" w:themeColor="text1" w:themeTint="D9"/>
                      <w:sz w:val="18"/>
                      <w:szCs w:val="18"/>
                    </w:rPr>
                    <w:t>béveridgien</w:t>
                  </w:r>
                  <w:proofErr w:type="spellEnd"/>
                  <w:proofErr w:type="gramEnd"/>
                  <w:r w:rsidRPr="0008292A">
                    <w:rPr>
                      <w:i/>
                      <w:color w:val="262626" w:themeColor="text1" w:themeTint="D9"/>
                      <w:sz w:val="18"/>
                      <w:szCs w:val="18"/>
                    </w:rPr>
                    <w:t> : estimation du % des dépenses de l’</w:t>
                  </w:r>
                  <w:r>
                    <w:rPr>
                      <w:i/>
                      <w:color w:val="262626" w:themeColor="text1" w:themeTint="D9"/>
                      <w:sz w:val="18"/>
                      <w:szCs w:val="18"/>
                    </w:rPr>
                    <w:t>Assurance maladie financé par</w:t>
                  </w:r>
                  <w:r w:rsidRPr="0008292A">
                    <w:rPr>
                      <w:i/>
                      <w:color w:val="262626" w:themeColor="text1" w:themeTint="D9"/>
                      <w:sz w:val="18"/>
                      <w:szCs w:val="18"/>
                    </w:rPr>
                    <w:t xml:space="preserve"> l’impôt et par la CSG ne provenant pas des revenus d’activité.</w:t>
                  </w:r>
                </w:p>
                <w:p w:rsidR="00144D6D" w:rsidRPr="0008292A" w:rsidRDefault="00144D6D" w:rsidP="00A51C03">
                  <w:pPr>
                    <w:spacing w:after="120" w:line="240" w:lineRule="auto"/>
                    <w:rPr>
                      <w:i/>
                      <w:color w:val="262626" w:themeColor="text1" w:themeTint="D9"/>
                      <w:sz w:val="18"/>
                      <w:szCs w:val="18"/>
                    </w:rPr>
                  </w:pPr>
                  <w:proofErr w:type="spellStart"/>
                  <w:r w:rsidRPr="0008292A">
                    <w:rPr>
                      <w:i/>
                      <w:color w:val="262626" w:themeColor="text1" w:themeTint="D9"/>
                      <w:sz w:val="18"/>
                      <w:szCs w:val="18"/>
                    </w:rPr>
                    <w:t>Syst</w:t>
                  </w:r>
                  <w:proofErr w:type="spellEnd"/>
                  <w:r w:rsidRPr="0008292A">
                    <w:rPr>
                      <w:i/>
                      <w:color w:val="262626" w:themeColor="text1" w:themeTint="D9"/>
                      <w:sz w:val="18"/>
                      <w:szCs w:val="18"/>
                    </w:rPr>
                    <w:t xml:space="preserve">. </w:t>
                  </w:r>
                  <w:proofErr w:type="gramStart"/>
                  <w:r w:rsidRPr="0008292A">
                    <w:rPr>
                      <w:i/>
                      <w:color w:val="262626" w:themeColor="text1" w:themeTint="D9"/>
                      <w:sz w:val="18"/>
                      <w:szCs w:val="18"/>
                    </w:rPr>
                    <w:t>libéral</w:t>
                  </w:r>
                  <w:proofErr w:type="gramEnd"/>
                  <w:r w:rsidRPr="0008292A">
                    <w:rPr>
                      <w:i/>
                      <w:color w:val="262626" w:themeColor="text1" w:themeTint="D9"/>
                      <w:sz w:val="18"/>
                      <w:szCs w:val="18"/>
                    </w:rPr>
                    <w:t> : % de la dépense courante de santé financée par le secteur privé.</w:t>
                  </w:r>
                </w:p>
                <w:p w:rsidR="00144D6D" w:rsidRPr="002A191F" w:rsidRDefault="00144D6D">
                  <w:pPr>
                    <w:rPr>
                      <w:b/>
                      <w:color w:val="262626" w:themeColor="text1" w:themeTint="D9"/>
                      <w:sz w:val="18"/>
                      <w:szCs w:val="18"/>
                    </w:rPr>
                  </w:pPr>
                </w:p>
              </w:txbxContent>
            </v:textbox>
          </v:shape>
        </w:pict>
      </w:r>
    </w:p>
    <w:p w:rsidR="0050368F" w:rsidRDefault="0050368F" w:rsidP="00621120">
      <w:pPr>
        <w:rPr>
          <w:b/>
          <w:color w:val="0D0D0D" w:themeColor="text1" w:themeTint="F2"/>
        </w:rPr>
      </w:pPr>
    </w:p>
    <w:p w:rsidR="0050368F" w:rsidRDefault="0050368F" w:rsidP="00621120">
      <w:pPr>
        <w:rPr>
          <w:b/>
          <w:color w:val="0D0D0D" w:themeColor="text1" w:themeTint="F2"/>
        </w:rPr>
      </w:pPr>
    </w:p>
    <w:p w:rsidR="0050368F" w:rsidRDefault="0050368F" w:rsidP="00621120">
      <w:pPr>
        <w:rPr>
          <w:b/>
          <w:color w:val="0D0D0D" w:themeColor="text1" w:themeTint="F2"/>
        </w:rPr>
      </w:pPr>
    </w:p>
    <w:p w:rsidR="0050368F" w:rsidRDefault="0050368F" w:rsidP="00621120">
      <w:pPr>
        <w:rPr>
          <w:b/>
          <w:color w:val="0D0D0D" w:themeColor="text1" w:themeTint="F2"/>
        </w:rPr>
      </w:pPr>
    </w:p>
    <w:p w:rsidR="0050368F" w:rsidRDefault="0050368F" w:rsidP="00621120">
      <w:pPr>
        <w:rPr>
          <w:b/>
          <w:color w:val="0D0D0D" w:themeColor="text1" w:themeTint="F2"/>
        </w:rPr>
      </w:pPr>
    </w:p>
    <w:p w:rsidR="0050368F" w:rsidRDefault="0050368F" w:rsidP="00621120">
      <w:pPr>
        <w:rPr>
          <w:b/>
          <w:color w:val="0D0D0D" w:themeColor="text1" w:themeTint="F2"/>
        </w:rPr>
      </w:pPr>
    </w:p>
    <w:p w:rsidR="0050368F" w:rsidRDefault="0050368F" w:rsidP="00621120">
      <w:pPr>
        <w:rPr>
          <w:b/>
          <w:color w:val="0D0D0D" w:themeColor="text1" w:themeTint="F2"/>
        </w:rPr>
      </w:pPr>
    </w:p>
    <w:p w:rsidR="0050368F" w:rsidRDefault="0050368F" w:rsidP="00621120">
      <w:pPr>
        <w:rPr>
          <w:b/>
          <w:color w:val="0D0D0D" w:themeColor="text1" w:themeTint="F2"/>
        </w:rPr>
      </w:pPr>
    </w:p>
    <w:p w:rsidR="0050368F" w:rsidRDefault="0050368F" w:rsidP="00621120">
      <w:pPr>
        <w:rPr>
          <w:b/>
          <w:color w:val="0D0D0D" w:themeColor="text1" w:themeTint="F2"/>
        </w:rPr>
      </w:pPr>
    </w:p>
    <w:p w:rsidR="00621120" w:rsidRDefault="00F86138">
      <w:pPr>
        <w:rPr>
          <w:color w:val="0D0D0D" w:themeColor="text1" w:themeTint="F2"/>
        </w:rPr>
      </w:pPr>
      <w:r>
        <w:rPr>
          <w:noProof/>
          <w:color w:val="0D0D0D" w:themeColor="text1" w:themeTint="F2"/>
          <w:lang w:eastAsia="fr-FR"/>
        </w:rPr>
        <w:lastRenderedPageBreak/>
        <w:pict>
          <v:rect id="_x0000_s1066" style="position:absolute;left:0;text-align:left;margin-left:-51.15pt;margin-top:8.6pt;width:600pt;height:100.5pt;z-index:251713536;v-text-anchor:middle" fillcolor="#f2f2f2 [3052]" strokecolor="#272727 [2749]" strokeweight="1pt">
            <v:stroke dashstyle="1 1" endcap="round"/>
            <v:textbox style="mso-next-textbox:#_x0000_s1066">
              <w:txbxContent>
                <w:p w:rsidR="00144D6D" w:rsidRDefault="00144D6D" w:rsidP="00083F1A">
                  <w:pPr>
                    <w:tabs>
                      <w:tab w:val="left" w:pos="3261"/>
                      <w:tab w:val="left" w:pos="6237"/>
                    </w:tabs>
                    <w:spacing w:after="120" w:line="240" w:lineRule="auto"/>
                    <w:ind w:left="1418"/>
                    <w:rPr>
                      <w:b/>
                      <w:color w:val="262626" w:themeColor="text1" w:themeTint="D9"/>
                      <w:sz w:val="18"/>
                      <w:szCs w:val="18"/>
                    </w:rPr>
                  </w:pPr>
                  <w:r>
                    <w:rPr>
                      <w:b/>
                      <w:color w:val="262626" w:themeColor="text1" w:themeTint="D9"/>
                      <w:sz w:val="18"/>
                      <w:szCs w:val="18"/>
                    </w:rPr>
                    <w:t>Partie 2</w:t>
                  </w:r>
                </w:p>
                <w:p w:rsidR="00144D6D" w:rsidRPr="00987897" w:rsidRDefault="00144D6D" w:rsidP="00083F1A">
                  <w:pPr>
                    <w:tabs>
                      <w:tab w:val="left" w:pos="3261"/>
                      <w:tab w:val="left" w:pos="6237"/>
                    </w:tabs>
                    <w:spacing w:after="120" w:line="240" w:lineRule="auto"/>
                    <w:ind w:left="1418" w:right="1889"/>
                    <w:jc w:val="left"/>
                    <w:rPr>
                      <w:color w:val="7A003C"/>
                      <w:sz w:val="52"/>
                      <w:szCs w:val="52"/>
                    </w:rPr>
                  </w:pPr>
                  <w:r>
                    <w:rPr>
                      <w:b/>
                      <w:color w:val="7A003C"/>
                      <w:sz w:val="52"/>
                      <w:szCs w:val="52"/>
                    </w:rPr>
                    <w:t>Complémentaires : vers un rôle accru dans la régulation des dépenses</w:t>
                  </w:r>
                </w:p>
              </w:txbxContent>
            </v:textbox>
          </v:rect>
        </w:pict>
      </w:r>
    </w:p>
    <w:p w:rsidR="00607AD1" w:rsidRDefault="00607AD1">
      <w:pPr>
        <w:rPr>
          <w:color w:val="0D0D0D" w:themeColor="text1" w:themeTint="F2"/>
        </w:rPr>
      </w:pPr>
    </w:p>
    <w:p w:rsidR="00607AD1" w:rsidRPr="00607AD1" w:rsidRDefault="00607AD1" w:rsidP="00607AD1">
      <w:pPr>
        <w:pStyle w:val="Titre1"/>
        <w:rPr>
          <w:color w:val="632423" w:themeColor="accent2" w:themeShade="80"/>
          <w:sz w:val="20"/>
          <w:szCs w:val="20"/>
        </w:rPr>
      </w:pPr>
    </w:p>
    <w:p w:rsidR="00607AD1" w:rsidRPr="00607AD1" w:rsidRDefault="00607AD1" w:rsidP="00607AD1">
      <w:pPr>
        <w:rPr>
          <w:sz w:val="20"/>
          <w:szCs w:val="20"/>
        </w:rPr>
      </w:pPr>
    </w:p>
    <w:p w:rsidR="00607AD1" w:rsidRPr="00607AD1" w:rsidRDefault="00607AD1" w:rsidP="00607AD1"/>
    <w:p w:rsidR="00C55157" w:rsidRPr="00C55157" w:rsidRDefault="00C55157" w:rsidP="00083F1A">
      <w:pPr>
        <w:spacing w:after="120"/>
        <w:ind w:right="423"/>
        <w:jc w:val="left"/>
        <w:rPr>
          <w:color w:val="262626" w:themeColor="text1" w:themeTint="D9"/>
          <w:sz w:val="10"/>
          <w:szCs w:val="10"/>
        </w:rPr>
      </w:pPr>
    </w:p>
    <w:p w:rsidR="00083F1A" w:rsidRPr="0008292A" w:rsidRDefault="00607AD1" w:rsidP="00083F1A">
      <w:pPr>
        <w:spacing w:after="120"/>
        <w:ind w:right="423"/>
        <w:jc w:val="left"/>
        <w:rPr>
          <w:color w:val="262626" w:themeColor="text1" w:themeTint="D9"/>
          <w:sz w:val="20"/>
          <w:szCs w:val="20"/>
        </w:rPr>
      </w:pPr>
      <w:r w:rsidRPr="0008292A">
        <w:rPr>
          <w:color w:val="262626" w:themeColor="text1" w:themeTint="D9"/>
          <w:sz w:val="20"/>
          <w:szCs w:val="20"/>
        </w:rPr>
        <w:t>Les organismes complémentaires d’</w:t>
      </w:r>
      <w:r w:rsidR="004759CA">
        <w:rPr>
          <w:color w:val="262626" w:themeColor="text1" w:themeTint="D9"/>
          <w:sz w:val="20"/>
          <w:szCs w:val="20"/>
        </w:rPr>
        <w:t>Assurance maladie</w:t>
      </w:r>
      <w:r w:rsidRPr="0008292A">
        <w:rPr>
          <w:color w:val="262626" w:themeColor="text1" w:themeTint="D9"/>
          <w:sz w:val="20"/>
          <w:szCs w:val="20"/>
        </w:rPr>
        <w:t xml:space="preserve"> (OCAM) sont des sociétés financières proposant des contrats d’assurance privée, dont la souscription n’est pas obligatoire (contrairement à la responsabilité civile pour les conducteurs de véhicule). Ces contrats d’assurance </w:t>
      </w:r>
      <w:r w:rsidR="00651A37" w:rsidRPr="0008292A">
        <w:rPr>
          <w:color w:val="262626" w:themeColor="text1" w:themeTint="D9"/>
          <w:sz w:val="20"/>
          <w:szCs w:val="20"/>
        </w:rPr>
        <w:t>complémentaire</w:t>
      </w:r>
      <w:r w:rsidRPr="0008292A">
        <w:rPr>
          <w:color w:val="262626" w:themeColor="text1" w:themeTint="D9"/>
          <w:sz w:val="20"/>
          <w:szCs w:val="20"/>
        </w:rPr>
        <w:t xml:space="preserve"> permettent aux patients de se faire rembourser tout ou partie des dépenses de santé non couvertes par la </w:t>
      </w:r>
      <w:r w:rsidR="009676AD">
        <w:rPr>
          <w:color w:val="262626" w:themeColor="text1" w:themeTint="D9"/>
          <w:sz w:val="20"/>
          <w:szCs w:val="20"/>
        </w:rPr>
        <w:t>Sécurité sociale</w:t>
      </w:r>
      <w:r w:rsidRPr="0008292A">
        <w:rPr>
          <w:color w:val="262626" w:themeColor="text1" w:themeTint="D9"/>
          <w:sz w:val="20"/>
          <w:szCs w:val="20"/>
        </w:rPr>
        <w:t xml:space="preserve">. </w:t>
      </w:r>
    </w:p>
    <w:p w:rsidR="00607AD1" w:rsidRPr="0008292A" w:rsidRDefault="00607AD1" w:rsidP="00083F1A">
      <w:pPr>
        <w:spacing w:after="120"/>
        <w:ind w:right="423"/>
        <w:jc w:val="left"/>
        <w:rPr>
          <w:color w:val="262626" w:themeColor="text1" w:themeTint="D9"/>
          <w:sz w:val="20"/>
          <w:szCs w:val="20"/>
        </w:rPr>
      </w:pPr>
      <w:r w:rsidRPr="0008292A">
        <w:rPr>
          <w:color w:val="262626" w:themeColor="text1" w:themeTint="D9"/>
          <w:sz w:val="20"/>
          <w:szCs w:val="20"/>
        </w:rPr>
        <w:t xml:space="preserve">Il existe différents types </w:t>
      </w:r>
      <w:r w:rsidR="00651A37" w:rsidRPr="0008292A">
        <w:rPr>
          <w:color w:val="262626" w:themeColor="text1" w:themeTint="D9"/>
          <w:sz w:val="20"/>
          <w:szCs w:val="20"/>
        </w:rPr>
        <w:t>d’OCAM</w:t>
      </w:r>
      <w:r w:rsidRPr="0008292A">
        <w:rPr>
          <w:color w:val="262626" w:themeColor="text1" w:themeTint="D9"/>
          <w:sz w:val="20"/>
          <w:szCs w:val="20"/>
        </w:rPr>
        <w:t> :</w:t>
      </w:r>
    </w:p>
    <w:p w:rsidR="00607AD1" w:rsidRPr="0008292A" w:rsidRDefault="00607AD1" w:rsidP="00C020D6">
      <w:pPr>
        <w:pStyle w:val="Paragraphedeliste"/>
        <w:numPr>
          <w:ilvl w:val="0"/>
          <w:numId w:val="12"/>
        </w:numPr>
        <w:ind w:left="709" w:right="423"/>
        <w:jc w:val="left"/>
        <w:rPr>
          <w:color w:val="262626" w:themeColor="text1" w:themeTint="D9"/>
          <w:sz w:val="20"/>
          <w:szCs w:val="20"/>
        </w:rPr>
      </w:pPr>
      <w:r w:rsidRPr="0008292A">
        <w:rPr>
          <w:color w:val="262626" w:themeColor="text1" w:themeTint="D9"/>
          <w:sz w:val="20"/>
          <w:szCs w:val="20"/>
        </w:rPr>
        <w:t>les sociétés d’assurance ;</w:t>
      </w:r>
    </w:p>
    <w:p w:rsidR="00607AD1" w:rsidRPr="0008292A" w:rsidRDefault="00607AD1" w:rsidP="00C020D6">
      <w:pPr>
        <w:pStyle w:val="Paragraphedeliste"/>
        <w:numPr>
          <w:ilvl w:val="0"/>
          <w:numId w:val="12"/>
        </w:numPr>
        <w:ind w:left="709" w:right="423"/>
        <w:jc w:val="left"/>
        <w:rPr>
          <w:color w:val="262626" w:themeColor="text1" w:themeTint="D9"/>
          <w:sz w:val="20"/>
          <w:szCs w:val="20"/>
        </w:rPr>
      </w:pPr>
      <w:r w:rsidRPr="0008292A">
        <w:rPr>
          <w:color w:val="262626" w:themeColor="text1" w:themeTint="D9"/>
          <w:sz w:val="20"/>
          <w:szCs w:val="20"/>
        </w:rPr>
        <w:t xml:space="preserve">les mutuelles (sociétés appartenant aux assurés) ; </w:t>
      </w:r>
    </w:p>
    <w:p w:rsidR="00607AD1" w:rsidRPr="0008292A" w:rsidRDefault="00607AD1" w:rsidP="00C020D6">
      <w:pPr>
        <w:pStyle w:val="Paragraphedeliste"/>
        <w:numPr>
          <w:ilvl w:val="0"/>
          <w:numId w:val="12"/>
        </w:numPr>
        <w:ind w:left="709" w:right="423"/>
        <w:jc w:val="left"/>
        <w:rPr>
          <w:color w:val="262626" w:themeColor="text1" w:themeTint="D9"/>
          <w:sz w:val="20"/>
          <w:szCs w:val="20"/>
        </w:rPr>
      </w:pPr>
      <w:r w:rsidRPr="0008292A">
        <w:rPr>
          <w:color w:val="262626" w:themeColor="text1" w:themeTint="D9"/>
          <w:sz w:val="20"/>
          <w:szCs w:val="20"/>
        </w:rPr>
        <w:t>les institutions de prévoyance (sociétés proposant des contrats collectifs</w:t>
      </w:r>
      <w:r w:rsidR="00651A37" w:rsidRPr="0008292A">
        <w:rPr>
          <w:color w:val="262626" w:themeColor="text1" w:themeTint="D9"/>
          <w:sz w:val="20"/>
          <w:szCs w:val="20"/>
        </w:rPr>
        <w:t xml:space="preserve"> et </w:t>
      </w:r>
      <w:r w:rsidRPr="0008292A">
        <w:rPr>
          <w:color w:val="262626" w:themeColor="text1" w:themeTint="D9"/>
          <w:sz w:val="20"/>
          <w:szCs w:val="20"/>
        </w:rPr>
        <w:t>géré</w:t>
      </w:r>
      <w:r w:rsidR="00651A37" w:rsidRPr="0008292A">
        <w:rPr>
          <w:color w:val="262626" w:themeColor="text1" w:themeTint="D9"/>
          <w:sz w:val="20"/>
          <w:szCs w:val="20"/>
        </w:rPr>
        <w:t>e</w:t>
      </w:r>
      <w:r w:rsidR="00EF602D" w:rsidRPr="0008292A">
        <w:rPr>
          <w:color w:val="262626" w:themeColor="text1" w:themeTint="D9"/>
          <w:sz w:val="20"/>
          <w:szCs w:val="20"/>
        </w:rPr>
        <w:t>s par d</w:t>
      </w:r>
      <w:r w:rsidRPr="0008292A">
        <w:rPr>
          <w:color w:val="262626" w:themeColor="text1" w:themeTint="D9"/>
          <w:sz w:val="20"/>
          <w:szCs w:val="20"/>
        </w:rPr>
        <w:t xml:space="preserve">es syndicats professionnels) ; </w:t>
      </w:r>
    </w:p>
    <w:p w:rsidR="00607AD1" w:rsidRPr="0008292A" w:rsidRDefault="00651A37" w:rsidP="00C020D6">
      <w:pPr>
        <w:pStyle w:val="Paragraphedeliste"/>
        <w:numPr>
          <w:ilvl w:val="0"/>
          <w:numId w:val="12"/>
        </w:numPr>
        <w:spacing w:after="120"/>
        <w:ind w:left="709" w:right="423"/>
        <w:jc w:val="left"/>
        <w:rPr>
          <w:color w:val="262626" w:themeColor="text1" w:themeTint="D9"/>
          <w:sz w:val="20"/>
          <w:szCs w:val="20"/>
        </w:rPr>
      </w:pPr>
      <w:r w:rsidRPr="0008292A">
        <w:rPr>
          <w:color w:val="262626" w:themeColor="text1" w:themeTint="D9"/>
          <w:sz w:val="20"/>
          <w:szCs w:val="20"/>
        </w:rPr>
        <w:t>certaines banques.</w:t>
      </w:r>
    </w:p>
    <w:p w:rsidR="00C55157" w:rsidRPr="0008292A" w:rsidRDefault="00607AD1" w:rsidP="00C55157">
      <w:pPr>
        <w:ind w:right="423"/>
        <w:jc w:val="left"/>
        <w:rPr>
          <w:color w:val="262626" w:themeColor="text1" w:themeTint="D9"/>
          <w:sz w:val="20"/>
          <w:szCs w:val="20"/>
        </w:rPr>
      </w:pPr>
      <w:r w:rsidRPr="0008292A">
        <w:rPr>
          <w:color w:val="262626" w:themeColor="text1" w:themeTint="D9"/>
          <w:sz w:val="20"/>
          <w:szCs w:val="20"/>
        </w:rPr>
        <w:t>En 2008, 94% de la population métropolitaine était couverte par une complémentaire santé.</w:t>
      </w:r>
      <w:r w:rsidR="00EF602D" w:rsidRPr="0008292A">
        <w:rPr>
          <w:color w:val="262626" w:themeColor="text1" w:themeTint="D9"/>
          <w:sz w:val="20"/>
          <w:szCs w:val="20"/>
        </w:rPr>
        <w:t xml:space="preserve"> </w:t>
      </w:r>
      <w:r w:rsidR="00E62ACE">
        <w:rPr>
          <w:color w:val="262626" w:themeColor="text1" w:themeTint="D9"/>
          <w:sz w:val="20"/>
          <w:szCs w:val="20"/>
        </w:rPr>
        <w:t>Néanmoins, le niveau de couverture</w:t>
      </w:r>
      <w:r w:rsidR="00EF602D" w:rsidRPr="0008292A">
        <w:rPr>
          <w:color w:val="262626" w:themeColor="text1" w:themeTint="D9"/>
          <w:sz w:val="20"/>
          <w:szCs w:val="20"/>
        </w:rPr>
        <w:t xml:space="preserve"> des risques est assez variable et dépend de la gamme de contrat sélectionnée par les ménages.</w:t>
      </w:r>
    </w:p>
    <w:p w:rsidR="00C55157" w:rsidRPr="00C55157" w:rsidRDefault="00C55157" w:rsidP="00C55157">
      <w:pPr>
        <w:ind w:right="423"/>
        <w:jc w:val="left"/>
        <w:rPr>
          <w:color w:val="262626" w:themeColor="text1" w:themeTint="D9"/>
          <w:sz w:val="10"/>
          <w:szCs w:val="10"/>
        </w:rPr>
      </w:pPr>
    </w:p>
    <w:p w:rsidR="00083F1A" w:rsidRPr="00251457" w:rsidRDefault="00083F1A" w:rsidP="00083F1A">
      <w:pPr>
        <w:pStyle w:val="Titre2"/>
        <w:keepNext w:val="0"/>
        <w:keepLines w:val="0"/>
        <w:spacing w:before="0" w:after="120"/>
        <w:ind w:left="705" w:right="2265" w:hanging="705"/>
        <w:rPr>
          <w:color w:val="1F497D" w:themeColor="text2"/>
        </w:rPr>
      </w:pPr>
      <w:r>
        <w:rPr>
          <w:rFonts w:eastAsiaTheme="minorHAnsi" w:cstheme="minorBidi"/>
          <w:bCs w:val="0"/>
          <w:color w:val="7A003C"/>
          <w:sz w:val="18"/>
          <w:szCs w:val="18"/>
        </w:rPr>
        <w:t>[2.1</w:t>
      </w:r>
      <w:r w:rsidRPr="00987897">
        <w:rPr>
          <w:rFonts w:eastAsiaTheme="minorHAnsi" w:cstheme="minorBidi"/>
          <w:bCs w:val="0"/>
          <w:color w:val="7A003C"/>
          <w:sz w:val="18"/>
          <w:szCs w:val="18"/>
        </w:rPr>
        <w:t>]</w:t>
      </w:r>
      <w:r w:rsidRPr="00987897">
        <w:rPr>
          <w:rFonts w:eastAsiaTheme="minorHAnsi" w:cstheme="minorBidi"/>
          <w:bCs w:val="0"/>
          <w:color w:val="7A003C"/>
          <w:sz w:val="18"/>
          <w:szCs w:val="18"/>
        </w:rPr>
        <w:tab/>
      </w:r>
      <w:r>
        <w:rPr>
          <w:i/>
          <w:color w:val="17365D" w:themeColor="text2" w:themeShade="BF"/>
          <w:sz w:val="28"/>
          <w:szCs w:val="28"/>
        </w:rPr>
        <w:t>La part des OCAM dans le financement des soins progresse d’année en anné</w:t>
      </w:r>
      <w:r w:rsidR="00E62ACE">
        <w:rPr>
          <w:i/>
          <w:color w:val="17365D" w:themeColor="text2" w:themeShade="BF"/>
          <w:sz w:val="28"/>
          <w:szCs w:val="28"/>
        </w:rPr>
        <w:t>e</w:t>
      </w:r>
    </w:p>
    <w:p w:rsidR="00651A37" w:rsidRPr="001A055D" w:rsidRDefault="00651A37" w:rsidP="00607AD1">
      <w:pPr>
        <w:pStyle w:val="Notedebasdepage"/>
        <w:rPr>
          <w:color w:val="auto"/>
          <w:szCs w:val="21"/>
        </w:rPr>
      </w:pPr>
    </w:p>
    <w:p w:rsidR="00083F1A" w:rsidRDefault="00083F1A" w:rsidP="00607AD1">
      <w:pPr>
        <w:pStyle w:val="Notedebasdepage"/>
        <w:rPr>
          <w:color w:val="auto"/>
          <w:szCs w:val="21"/>
        </w:rPr>
        <w:sectPr w:rsidR="00083F1A" w:rsidSect="00415E08">
          <w:type w:val="continuous"/>
          <w:pgSz w:w="11906" w:h="16838"/>
          <w:pgMar w:top="1928" w:right="1418" w:bottom="1135" w:left="993" w:header="709" w:footer="709" w:gutter="0"/>
          <w:cols w:space="708"/>
          <w:docGrid w:linePitch="360"/>
        </w:sectPr>
      </w:pPr>
    </w:p>
    <w:p w:rsidR="00607AD1" w:rsidRPr="0008292A" w:rsidRDefault="00607AD1" w:rsidP="00E62ACE">
      <w:pPr>
        <w:pStyle w:val="Notedebasdepage"/>
        <w:spacing w:after="160" w:line="276" w:lineRule="auto"/>
        <w:jc w:val="left"/>
        <w:rPr>
          <w:color w:val="262626" w:themeColor="text1" w:themeTint="D9"/>
          <w:sz w:val="20"/>
        </w:rPr>
      </w:pPr>
      <w:r w:rsidRPr="0008292A">
        <w:rPr>
          <w:color w:val="262626" w:themeColor="text1" w:themeTint="D9"/>
          <w:sz w:val="20"/>
        </w:rPr>
        <w:lastRenderedPageBreak/>
        <w:t xml:space="preserve">En 2011, les OCAM ont financé 13,7% de la consommation de soins et de biens médicaux, contre 12,4% en 2000. En ajoutant la contribution nette des complémentaires au Fonds CMU, cette proportion </w:t>
      </w:r>
      <w:r w:rsidR="00651A37" w:rsidRPr="0008292A">
        <w:rPr>
          <w:color w:val="262626" w:themeColor="text1" w:themeTint="D9"/>
          <w:sz w:val="20"/>
        </w:rPr>
        <w:t>doit être relevée</w:t>
      </w:r>
      <w:r w:rsidRPr="0008292A">
        <w:rPr>
          <w:color w:val="262626" w:themeColor="text1" w:themeTint="D9"/>
          <w:sz w:val="20"/>
        </w:rPr>
        <w:t xml:space="preserve"> </w:t>
      </w:r>
      <w:r w:rsidR="00EF602D" w:rsidRPr="0008292A">
        <w:rPr>
          <w:color w:val="262626" w:themeColor="text1" w:themeTint="D9"/>
          <w:sz w:val="20"/>
        </w:rPr>
        <w:t>de près</w:t>
      </w:r>
      <w:r w:rsidRPr="0008292A">
        <w:rPr>
          <w:color w:val="262626" w:themeColor="text1" w:themeTint="D9"/>
          <w:sz w:val="20"/>
        </w:rPr>
        <w:t xml:space="preserve"> d’un point.</w:t>
      </w:r>
    </w:p>
    <w:p w:rsidR="00607AD1" w:rsidRDefault="00EF602D" w:rsidP="00E62ACE">
      <w:pPr>
        <w:pStyle w:val="Notedebasdepage"/>
        <w:spacing w:after="160" w:line="276" w:lineRule="auto"/>
        <w:jc w:val="left"/>
        <w:rPr>
          <w:color w:val="262626" w:themeColor="text1" w:themeTint="D9"/>
          <w:sz w:val="20"/>
        </w:rPr>
      </w:pPr>
      <w:r w:rsidRPr="0008292A">
        <w:rPr>
          <w:color w:val="262626" w:themeColor="text1" w:themeTint="D9"/>
          <w:sz w:val="20"/>
        </w:rPr>
        <w:t>En outre</w:t>
      </w:r>
      <w:r w:rsidR="00607AD1" w:rsidRPr="0008292A">
        <w:rPr>
          <w:color w:val="262626" w:themeColor="text1" w:themeTint="D9"/>
          <w:sz w:val="20"/>
        </w:rPr>
        <w:t>, les complémentaires prennent à leur charge des dépenses annexes de santé n</w:t>
      </w:r>
      <w:r w:rsidR="00E62ACE">
        <w:rPr>
          <w:color w:val="262626" w:themeColor="text1" w:themeTint="D9"/>
          <w:sz w:val="20"/>
        </w:rPr>
        <w:t>on comptabilisées dans la consommation de soins et de biens médicaux (CSBM)</w:t>
      </w:r>
      <w:r w:rsidRPr="0008292A">
        <w:rPr>
          <w:color w:val="262626" w:themeColor="text1" w:themeTint="D9"/>
          <w:sz w:val="20"/>
        </w:rPr>
        <w:t xml:space="preserve">. Il s’agit par exemple </w:t>
      </w:r>
      <w:r w:rsidR="00607AD1" w:rsidRPr="0008292A">
        <w:rPr>
          <w:color w:val="262626" w:themeColor="text1" w:themeTint="D9"/>
          <w:sz w:val="20"/>
        </w:rPr>
        <w:t xml:space="preserve">des suppléments de dépenses d’hospitalisation (chambre individuelle, frais de long séjour…) </w:t>
      </w:r>
      <w:r w:rsidRPr="0008292A">
        <w:rPr>
          <w:color w:val="262626" w:themeColor="text1" w:themeTint="D9"/>
          <w:sz w:val="20"/>
        </w:rPr>
        <w:t>et de</w:t>
      </w:r>
      <w:r w:rsidR="00607AD1" w:rsidRPr="0008292A">
        <w:rPr>
          <w:color w:val="262626" w:themeColor="text1" w:themeTint="D9"/>
          <w:sz w:val="20"/>
        </w:rPr>
        <w:t xml:space="preserve"> </w:t>
      </w:r>
      <w:r w:rsidRPr="0008292A">
        <w:rPr>
          <w:color w:val="262626" w:themeColor="text1" w:themeTint="D9"/>
          <w:sz w:val="20"/>
        </w:rPr>
        <w:t xml:space="preserve">versements au ménages au titre </w:t>
      </w:r>
      <w:r w:rsidR="00607AD1" w:rsidRPr="0008292A">
        <w:rPr>
          <w:color w:val="262626" w:themeColor="text1" w:themeTint="D9"/>
          <w:sz w:val="20"/>
        </w:rPr>
        <w:t xml:space="preserve">de la contraception, de l’acuponcture, de primes de naissance… </w:t>
      </w:r>
      <w:r w:rsidRPr="0008292A">
        <w:rPr>
          <w:color w:val="262626" w:themeColor="text1" w:themeTint="D9"/>
          <w:sz w:val="20"/>
        </w:rPr>
        <w:t>En 2010, l</w:t>
      </w:r>
      <w:r w:rsidR="00607AD1" w:rsidRPr="0008292A">
        <w:rPr>
          <w:color w:val="262626" w:themeColor="text1" w:themeTint="D9"/>
          <w:sz w:val="20"/>
        </w:rPr>
        <w:t>’ensemble de ces dépenses non comprises dans la CSBM s’est élevé à 1,2 milliards d’</w:t>
      </w:r>
      <w:r w:rsidRPr="0008292A">
        <w:rPr>
          <w:color w:val="262626" w:themeColor="text1" w:themeTint="D9"/>
          <w:sz w:val="20"/>
        </w:rPr>
        <w:t>euros pour les complémentaires.</w:t>
      </w:r>
    </w:p>
    <w:p w:rsidR="00FF37D1" w:rsidRPr="0008292A" w:rsidRDefault="00FF37D1" w:rsidP="00E62ACE">
      <w:pPr>
        <w:pStyle w:val="Notedebasdepage"/>
        <w:spacing w:after="160" w:line="276" w:lineRule="auto"/>
        <w:jc w:val="left"/>
        <w:rPr>
          <w:color w:val="262626" w:themeColor="text1" w:themeTint="D9"/>
          <w:sz w:val="20"/>
        </w:rPr>
      </w:pPr>
    </w:p>
    <w:p w:rsidR="00EF602D" w:rsidRPr="0008292A" w:rsidRDefault="00607AD1" w:rsidP="00E62ACE">
      <w:pPr>
        <w:spacing w:after="160"/>
        <w:jc w:val="left"/>
        <w:rPr>
          <w:color w:val="262626" w:themeColor="text1" w:themeTint="D9"/>
          <w:sz w:val="20"/>
          <w:szCs w:val="20"/>
        </w:rPr>
      </w:pPr>
      <w:r w:rsidRPr="0008292A">
        <w:rPr>
          <w:color w:val="262626" w:themeColor="text1" w:themeTint="D9"/>
          <w:sz w:val="20"/>
          <w:szCs w:val="20"/>
        </w:rPr>
        <w:lastRenderedPageBreak/>
        <w:t xml:space="preserve">Le poids des </w:t>
      </w:r>
      <w:r w:rsidR="00EF602D" w:rsidRPr="0008292A">
        <w:rPr>
          <w:color w:val="262626" w:themeColor="text1" w:themeTint="D9"/>
          <w:sz w:val="20"/>
          <w:szCs w:val="20"/>
        </w:rPr>
        <w:t>complémentaires</w:t>
      </w:r>
      <w:r w:rsidRPr="0008292A">
        <w:rPr>
          <w:color w:val="262626" w:themeColor="text1" w:themeTint="D9"/>
          <w:sz w:val="20"/>
          <w:szCs w:val="20"/>
        </w:rPr>
        <w:t xml:space="preserve"> dans le financement de la santé est sensiblement plus </w:t>
      </w:r>
      <w:r w:rsidR="00651A37" w:rsidRPr="0008292A">
        <w:rPr>
          <w:color w:val="262626" w:themeColor="text1" w:themeTint="D9"/>
          <w:sz w:val="20"/>
          <w:szCs w:val="20"/>
        </w:rPr>
        <w:t>élevé</w:t>
      </w:r>
      <w:r w:rsidRPr="0008292A">
        <w:rPr>
          <w:color w:val="262626" w:themeColor="text1" w:themeTint="D9"/>
          <w:sz w:val="20"/>
          <w:szCs w:val="20"/>
        </w:rPr>
        <w:t xml:space="preserve"> pour certains types de soins. </w:t>
      </w:r>
      <w:r w:rsidR="00EF602D" w:rsidRPr="0008292A">
        <w:rPr>
          <w:color w:val="262626" w:themeColor="text1" w:themeTint="D9"/>
          <w:sz w:val="20"/>
          <w:szCs w:val="20"/>
        </w:rPr>
        <w:t>Ainsi, e</w:t>
      </w:r>
      <w:r w:rsidRPr="0008292A">
        <w:rPr>
          <w:color w:val="262626" w:themeColor="text1" w:themeTint="D9"/>
          <w:sz w:val="20"/>
          <w:szCs w:val="20"/>
        </w:rPr>
        <w:t>lles supportent plus d’un tiers des dépens</w:t>
      </w:r>
      <w:r w:rsidR="00C81170">
        <w:rPr>
          <w:color w:val="262626" w:themeColor="text1" w:themeTint="D9"/>
          <w:sz w:val="20"/>
          <w:szCs w:val="20"/>
        </w:rPr>
        <w:t>es de soins dentaires (38,3</w:t>
      </w:r>
      <w:r w:rsidR="00651A37" w:rsidRPr="0008292A">
        <w:rPr>
          <w:color w:val="262626" w:themeColor="text1" w:themeTint="D9"/>
          <w:sz w:val="20"/>
          <w:szCs w:val="20"/>
        </w:rPr>
        <w:t xml:space="preserve">%) </w:t>
      </w:r>
      <w:r w:rsidR="00EF602D" w:rsidRPr="0008292A">
        <w:rPr>
          <w:color w:val="262626" w:themeColor="text1" w:themeTint="D9"/>
          <w:sz w:val="20"/>
          <w:szCs w:val="20"/>
        </w:rPr>
        <w:t>et des</w:t>
      </w:r>
      <w:r w:rsidRPr="0008292A">
        <w:rPr>
          <w:color w:val="262626" w:themeColor="text1" w:themeTint="D9"/>
          <w:sz w:val="20"/>
          <w:szCs w:val="20"/>
        </w:rPr>
        <w:t xml:space="preserve"> « au</w:t>
      </w:r>
      <w:r w:rsidR="001A055D" w:rsidRPr="0008292A">
        <w:rPr>
          <w:color w:val="262626" w:themeColor="text1" w:themeTint="D9"/>
          <w:sz w:val="20"/>
          <w:szCs w:val="20"/>
        </w:rPr>
        <w:t>tres biens médicaux » (35,7%)</w:t>
      </w:r>
      <w:r w:rsidR="00FF37D1">
        <w:rPr>
          <w:color w:val="262626" w:themeColor="text1" w:themeTint="D9"/>
          <w:sz w:val="20"/>
          <w:szCs w:val="20"/>
        </w:rPr>
        <w:t>,</w:t>
      </w:r>
      <w:r w:rsidR="001A055D" w:rsidRPr="0008292A">
        <w:rPr>
          <w:color w:val="262626" w:themeColor="text1" w:themeTint="D9"/>
          <w:sz w:val="20"/>
          <w:szCs w:val="20"/>
        </w:rPr>
        <w:t xml:space="preserve"> </w:t>
      </w:r>
      <w:r w:rsidR="00EF602D" w:rsidRPr="0008292A">
        <w:rPr>
          <w:color w:val="262626" w:themeColor="text1" w:themeTint="D9"/>
          <w:sz w:val="20"/>
          <w:szCs w:val="20"/>
        </w:rPr>
        <w:t>parmi lesquels</w:t>
      </w:r>
      <w:r w:rsidR="0099503C">
        <w:rPr>
          <w:color w:val="262626" w:themeColor="text1" w:themeTint="D9"/>
          <w:sz w:val="20"/>
          <w:szCs w:val="20"/>
        </w:rPr>
        <w:t xml:space="preserve"> figurent les frais d’optique. En 2011, 43,8% des dépenses </w:t>
      </w:r>
      <w:r w:rsidR="00A65609">
        <w:rPr>
          <w:color w:val="262626" w:themeColor="text1" w:themeTint="D9"/>
          <w:sz w:val="20"/>
          <w:szCs w:val="20"/>
        </w:rPr>
        <w:t xml:space="preserve">classées par la Drees </w:t>
      </w:r>
      <w:r w:rsidR="00E62ACE">
        <w:rPr>
          <w:color w:val="262626" w:themeColor="text1" w:themeTint="D9"/>
          <w:sz w:val="20"/>
          <w:szCs w:val="20"/>
        </w:rPr>
        <w:t xml:space="preserve">dans la catégorie </w:t>
      </w:r>
      <w:r w:rsidR="0099503C">
        <w:rPr>
          <w:color w:val="262626" w:themeColor="text1" w:themeTint="D9"/>
          <w:sz w:val="20"/>
          <w:szCs w:val="20"/>
        </w:rPr>
        <w:t>« autres biens médicaux »</w:t>
      </w:r>
      <w:r w:rsidR="00E62ACE">
        <w:rPr>
          <w:color w:val="262626" w:themeColor="text1" w:themeTint="D9"/>
          <w:sz w:val="20"/>
          <w:szCs w:val="20"/>
        </w:rPr>
        <w:t>*</w:t>
      </w:r>
      <w:r w:rsidR="0099503C">
        <w:rPr>
          <w:color w:val="262626" w:themeColor="text1" w:themeTint="D9"/>
          <w:sz w:val="20"/>
          <w:szCs w:val="20"/>
        </w:rPr>
        <w:t xml:space="preserve"> étaient des dépenses d’optique.</w:t>
      </w:r>
    </w:p>
    <w:p w:rsidR="00FF37D1" w:rsidRPr="0008292A" w:rsidRDefault="00FF37D1" w:rsidP="00E62ACE">
      <w:pPr>
        <w:spacing w:after="160"/>
        <w:jc w:val="left"/>
        <w:rPr>
          <w:color w:val="262626" w:themeColor="text1" w:themeTint="D9"/>
          <w:sz w:val="20"/>
          <w:szCs w:val="20"/>
        </w:rPr>
      </w:pPr>
      <w:r>
        <w:rPr>
          <w:color w:val="262626" w:themeColor="text1" w:themeTint="D9"/>
          <w:sz w:val="20"/>
          <w:szCs w:val="20"/>
        </w:rPr>
        <w:t>Les frais d’optique sont mal remboursés par la Sécurité sociale (de l’ordre de 4% de la dépense facturée). La prise en charge par les OCAM est en revanche élevée (66%), permettant aux patients de limiter leur reste à charge (29%)*.</w:t>
      </w:r>
    </w:p>
    <w:p w:rsidR="00083F1A" w:rsidRPr="0008292A" w:rsidRDefault="00F86138" w:rsidP="00083F1A">
      <w:pPr>
        <w:jc w:val="left"/>
        <w:rPr>
          <w:color w:val="262626" w:themeColor="text1" w:themeTint="D9"/>
          <w:sz w:val="20"/>
          <w:szCs w:val="20"/>
        </w:rPr>
      </w:pPr>
      <w:r>
        <w:rPr>
          <w:noProof/>
          <w:color w:val="auto"/>
          <w:sz w:val="20"/>
          <w:szCs w:val="20"/>
          <w:lang w:eastAsia="fr-FR"/>
        </w:rPr>
        <w:pict>
          <v:shape id="_x0000_s1088" type="#_x0000_t202" style="position:absolute;margin-left:-7.5pt;margin-top:-.1pt;width:252.55pt;height:41.25pt;z-index:251738112;mso-width-relative:margin;mso-height-relative:margin;v-text-anchor:middle" filled="f" stroked="f">
            <v:textbox style="mso-next-textbox:#_x0000_s1088">
              <w:txbxContent>
                <w:p w:rsidR="00144D6D" w:rsidRPr="00E62ACE" w:rsidRDefault="00144D6D" w:rsidP="00FF37D1">
                  <w:pPr>
                    <w:spacing w:after="0" w:line="240" w:lineRule="auto"/>
                    <w:jc w:val="left"/>
                    <w:rPr>
                      <w:i/>
                      <w:color w:val="262626" w:themeColor="text1" w:themeTint="D9"/>
                      <w:sz w:val="18"/>
                      <w:szCs w:val="18"/>
                    </w:rPr>
                  </w:pPr>
                  <w:r w:rsidRPr="00E62ACE">
                    <w:rPr>
                      <w:i/>
                      <w:color w:val="262626" w:themeColor="text1" w:themeTint="D9"/>
                      <w:sz w:val="18"/>
                      <w:szCs w:val="18"/>
                    </w:rPr>
                    <w:t>* Dépenses d’optique ; de prothèses, d’orthèses, de véhicules pour handicapés physiques ; de petits matériels en pansements</w:t>
                  </w:r>
                </w:p>
                <w:p w:rsidR="00144D6D" w:rsidRPr="00E62ACE" w:rsidRDefault="00144D6D" w:rsidP="00FF37D1">
                  <w:pPr>
                    <w:spacing w:after="0" w:line="240" w:lineRule="auto"/>
                    <w:jc w:val="left"/>
                    <w:rPr>
                      <w:i/>
                      <w:color w:val="262626" w:themeColor="text1" w:themeTint="D9"/>
                      <w:sz w:val="18"/>
                      <w:szCs w:val="18"/>
                    </w:rPr>
                  </w:pPr>
                  <w:r w:rsidRPr="00E62ACE">
                    <w:rPr>
                      <w:i/>
                      <w:color w:val="262626" w:themeColor="text1" w:themeTint="D9"/>
                      <w:sz w:val="18"/>
                      <w:szCs w:val="18"/>
                    </w:rPr>
                    <w:t>** Source : Drees (comptes de la santé 2010)</w:t>
                  </w:r>
                </w:p>
                <w:p w:rsidR="00144D6D" w:rsidRPr="009B5428" w:rsidRDefault="00144D6D" w:rsidP="00FF37D1">
                  <w:pPr>
                    <w:jc w:val="left"/>
                    <w:rPr>
                      <w:color w:val="262626" w:themeColor="text1" w:themeTint="D9"/>
                      <w:sz w:val="18"/>
                      <w:szCs w:val="18"/>
                    </w:rPr>
                  </w:pPr>
                </w:p>
              </w:txbxContent>
            </v:textbox>
          </v:shape>
        </w:pict>
      </w:r>
    </w:p>
    <w:p w:rsidR="00083F1A" w:rsidRDefault="00083F1A" w:rsidP="00083F1A">
      <w:pPr>
        <w:jc w:val="left"/>
        <w:rPr>
          <w:color w:val="auto"/>
          <w:sz w:val="20"/>
          <w:szCs w:val="20"/>
        </w:rPr>
      </w:pPr>
    </w:p>
    <w:p w:rsidR="00083F1A" w:rsidRPr="00083F1A" w:rsidRDefault="00083F1A" w:rsidP="00083F1A">
      <w:pPr>
        <w:jc w:val="left"/>
        <w:rPr>
          <w:color w:val="auto"/>
          <w:sz w:val="20"/>
          <w:szCs w:val="20"/>
        </w:rPr>
        <w:sectPr w:rsidR="00083F1A" w:rsidRPr="00083F1A" w:rsidSect="00083F1A">
          <w:type w:val="continuous"/>
          <w:pgSz w:w="11906" w:h="16838"/>
          <w:pgMar w:top="1928" w:right="1418" w:bottom="1135" w:left="993" w:header="709" w:footer="709" w:gutter="0"/>
          <w:cols w:num="2" w:space="708"/>
          <w:docGrid w:linePitch="360"/>
        </w:sectPr>
      </w:pPr>
    </w:p>
    <w:p w:rsidR="00C55157" w:rsidRPr="0008292A" w:rsidRDefault="00C81170" w:rsidP="00C55157">
      <w:pPr>
        <w:ind w:right="5809"/>
        <w:jc w:val="left"/>
        <w:rPr>
          <w:color w:val="262626" w:themeColor="text1" w:themeTint="D9"/>
          <w:sz w:val="20"/>
          <w:szCs w:val="20"/>
        </w:rPr>
      </w:pPr>
      <w:r>
        <w:rPr>
          <w:noProof/>
          <w:color w:val="262626" w:themeColor="text1" w:themeTint="D9"/>
          <w:lang w:eastAsia="fr-FR"/>
        </w:rPr>
        <w:lastRenderedPageBreak/>
        <w:drawing>
          <wp:anchor distT="0" distB="0" distL="114300" distR="114300" simplePos="0" relativeHeight="251768832" behindDoc="0" locked="0" layoutInCell="1" allowOverlap="1">
            <wp:simplePos x="0" y="0"/>
            <wp:positionH relativeFrom="column">
              <wp:posOffset>2807970</wp:posOffset>
            </wp:positionH>
            <wp:positionV relativeFrom="paragraph">
              <wp:posOffset>356871</wp:posOffset>
            </wp:positionV>
            <wp:extent cx="3676650" cy="2514600"/>
            <wp:effectExtent l="0" t="0" r="0" b="0"/>
            <wp:wrapNone/>
            <wp:docPr id="26"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00F86138">
        <w:rPr>
          <w:noProof/>
          <w:color w:val="262626" w:themeColor="text1" w:themeTint="D9"/>
          <w:lang w:eastAsia="fr-FR"/>
        </w:rPr>
        <w:pict>
          <v:shape id="_x0000_s1067" type="#_x0000_t202" style="position:absolute;margin-left:218.3pt;margin-top:-7.15pt;width:247.55pt;height:33pt;z-index:251714560;mso-position-horizontal-relative:text;mso-position-vertical-relative:text;mso-width-relative:margin;mso-height-relative:margin" filled="f" stroked="f">
            <v:textbox style="mso-next-textbox:#_x0000_s1067">
              <w:txbxContent>
                <w:p w:rsidR="00144D6D" w:rsidRDefault="00144D6D" w:rsidP="00083F1A">
                  <w:pPr>
                    <w:tabs>
                      <w:tab w:val="left" w:pos="993"/>
                    </w:tabs>
                    <w:spacing w:after="0" w:line="240" w:lineRule="auto"/>
                    <w:ind w:left="990" w:hanging="990"/>
                    <w:jc w:val="left"/>
                    <w:rPr>
                      <w:color w:val="7A003C"/>
                      <w:sz w:val="18"/>
                      <w:szCs w:val="18"/>
                    </w:rPr>
                  </w:pPr>
                  <w:r>
                    <w:rPr>
                      <w:color w:val="7A003C"/>
                      <w:sz w:val="18"/>
                      <w:szCs w:val="18"/>
                    </w:rPr>
                    <w:t>Graph 17</w:t>
                  </w:r>
                  <w:r w:rsidRPr="00987897">
                    <w:rPr>
                      <w:color w:val="7A003C"/>
                      <w:sz w:val="18"/>
                      <w:szCs w:val="18"/>
                    </w:rPr>
                    <w:t>.</w:t>
                  </w:r>
                  <w:r>
                    <w:rPr>
                      <w:color w:val="7A003C"/>
                      <w:sz w:val="18"/>
                      <w:szCs w:val="18"/>
                    </w:rPr>
                    <w:tab/>
                  </w:r>
                  <w:r>
                    <w:rPr>
                      <w:b/>
                      <w:color w:val="262626" w:themeColor="text1" w:themeTint="D9"/>
                      <w:sz w:val="20"/>
                      <w:szCs w:val="20"/>
                    </w:rPr>
                    <w:t xml:space="preserve">Poids des complémentaires </w:t>
                  </w:r>
                  <w:proofErr w:type="gramStart"/>
                  <w:r>
                    <w:rPr>
                      <w:b/>
                      <w:color w:val="262626" w:themeColor="text1" w:themeTint="D9"/>
                      <w:sz w:val="20"/>
                      <w:szCs w:val="20"/>
                    </w:rPr>
                    <w:t>santé</w:t>
                  </w:r>
                  <w:proofErr w:type="gramEnd"/>
                  <w:r>
                    <w:rPr>
                      <w:b/>
                      <w:color w:val="262626" w:themeColor="text1" w:themeTint="D9"/>
                      <w:sz w:val="20"/>
                      <w:szCs w:val="20"/>
                    </w:rPr>
                    <w:t xml:space="preserve"> dans les principaux postes de la CSBM*</w:t>
                  </w:r>
                </w:p>
                <w:p w:rsidR="00144D6D" w:rsidRPr="00987897" w:rsidRDefault="00144D6D" w:rsidP="00083F1A">
                  <w:pPr>
                    <w:tabs>
                      <w:tab w:val="left" w:pos="993"/>
                    </w:tabs>
                    <w:spacing w:after="0" w:line="240" w:lineRule="auto"/>
                    <w:ind w:firstLine="708"/>
                    <w:jc w:val="left"/>
                    <w:rPr>
                      <w:i/>
                      <w:color w:val="262626" w:themeColor="text1" w:themeTint="D9"/>
                      <w:sz w:val="18"/>
                      <w:szCs w:val="18"/>
                    </w:rPr>
                  </w:pPr>
                  <w:r>
                    <w:rPr>
                      <w:color w:val="7A003C"/>
                      <w:sz w:val="18"/>
                      <w:szCs w:val="18"/>
                    </w:rPr>
                    <w:tab/>
                  </w:r>
                  <w:r>
                    <w:rPr>
                      <w:i/>
                      <w:color w:val="262626" w:themeColor="text1" w:themeTint="D9"/>
                      <w:sz w:val="18"/>
                      <w:szCs w:val="18"/>
                    </w:rPr>
                    <w:t>En pourcentage de la CSBM</w:t>
                  </w:r>
                </w:p>
                <w:p w:rsidR="00144D6D" w:rsidRPr="00987897" w:rsidRDefault="00144D6D" w:rsidP="00083F1A">
                  <w:pPr>
                    <w:rPr>
                      <w:color w:val="7A003C"/>
                      <w:sz w:val="18"/>
                      <w:szCs w:val="18"/>
                    </w:rPr>
                  </w:pPr>
                </w:p>
              </w:txbxContent>
            </v:textbox>
          </v:shape>
        </w:pict>
      </w:r>
      <w:r w:rsidR="00607AD1" w:rsidRPr="0008292A">
        <w:rPr>
          <w:color w:val="262626" w:themeColor="text1" w:themeTint="D9"/>
          <w:sz w:val="20"/>
          <w:szCs w:val="20"/>
        </w:rPr>
        <w:t>L’</w:t>
      </w:r>
      <w:r w:rsidR="004759CA">
        <w:rPr>
          <w:color w:val="262626" w:themeColor="text1" w:themeTint="D9"/>
          <w:sz w:val="20"/>
          <w:szCs w:val="20"/>
        </w:rPr>
        <w:t>Assurance maladie</w:t>
      </w:r>
      <w:r w:rsidR="00607AD1" w:rsidRPr="0008292A">
        <w:rPr>
          <w:color w:val="262626" w:themeColor="text1" w:themeTint="D9"/>
          <w:sz w:val="20"/>
          <w:szCs w:val="20"/>
        </w:rPr>
        <w:t xml:space="preserve"> se désengage progressivement </w:t>
      </w:r>
      <w:r w:rsidR="00EF602D" w:rsidRPr="0008292A">
        <w:rPr>
          <w:color w:val="262626" w:themeColor="text1" w:themeTint="D9"/>
          <w:sz w:val="20"/>
          <w:szCs w:val="20"/>
        </w:rPr>
        <w:t>du financement des soins dentaires et d’optique</w:t>
      </w:r>
      <w:r w:rsidR="00607AD1" w:rsidRPr="0008292A">
        <w:rPr>
          <w:color w:val="262626" w:themeColor="text1" w:themeTint="D9"/>
          <w:sz w:val="20"/>
          <w:szCs w:val="20"/>
        </w:rPr>
        <w:t xml:space="preserve"> depuis plus de 10 ans. </w:t>
      </w:r>
    </w:p>
    <w:p w:rsidR="00607AD1" w:rsidRPr="00D627AE" w:rsidRDefault="00607AD1" w:rsidP="00C55157">
      <w:pPr>
        <w:ind w:right="5809"/>
        <w:jc w:val="left"/>
        <w:rPr>
          <w:color w:val="262626" w:themeColor="text1" w:themeTint="D9"/>
          <w:sz w:val="20"/>
          <w:szCs w:val="20"/>
        </w:rPr>
      </w:pPr>
      <w:r w:rsidRPr="00D627AE">
        <w:rPr>
          <w:color w:val="262626" w:themeColor="text1" w:themeTint="D9"/>
          <w:sz w:val="20"/>
          <w:szCs w:val="20"/>
        </w:rPr>
        <w:t>E</w:t>
      </w:r>
      <w:r w:rsidR="001A055D" w:rsidRPr="00D627AE">
        <w:rPr>
          <w:color w:val="262626" w:themeColor="text1" w:themeTint="D9"/>
          <w:sz w:val="20"/>
          <w:szCs w:val="20"/>
        </w:rPr>
        <w:t>ntre 2000 et 2010</w:t>
      </w:r>
      <w:r w:rsidRPr="00D627AE">
        <w:rPr>
          <w:color w:val="262626" w:themeColor="text1" w:themeTint="D9"/>
          <w:sz w:val="20"/>
          <w:szCs w:val="20"/>
        </w:rPr>
        <w:t xml:space="preserve">, la part </w:t>
      </w:r>
      <w:r w:rsidR="00EF602D" w:rsidRPr="00D627AE">
        <w:rPr>
          <w:color w:val="262626" w:themeColor="text1" w:themeTint="D9"/>
          <w:sz w:val="20"/>
          <w:szCs w:val="20"/>
        </w:rPr>
        <w:t xml:space="preserve">des dépenses </w:t>
      </w:r>
      <w:r w:rsidR="00C81170" w:rsidRPr="00D627AE">
        <w:rPr>
          <w:color w:val="262626" w:themeColor="text1" w:themeTint="D9"/>
          <w:sz w:val="20"/>
          <w:szCs w:val="20"/>
        </w:rPr>
        <w:t xml:space="preserve"> </w:t>
      </w:r>
      <w:r w:rsidR="000F401D" w:rsidRPr="00D627AE">
        <w:rPr>
          <w:color w:val="262626" w:themeColor="text1" w:themeTint="D9"/>
          <w:sz w:val="20"/>
          <w:szCs w:val="20"/>
        </w:rPr>
        <w:t>prise en charge</w:t>
      </w:r>
      <w:r w:rsidR="00501581" w:rsidRPr="00D627AE">
        <w:rPr>
          <w:color w:val="262626" w:themeColor="text1" w:themeTint="D9"/>
          <w:sz w:val="20"/>
          <w:szCs w:val="20"/>
        </w:rPr>
        <w:t xml:space="preserve"> par l</w:t>
      </w:r>
      <w:r w:rsidRPr="00D627AE">
        <w:rPr>
          <w:color w:val="262626" w:themeColor="text1" w:themeTint="D9"/>
          <w:sz w:val="20"/>
          <w:szCs w:val="20"/>
        </w:rPr>
        <w:t>es OCAM a ainsi crû de plus de 5 points pour les soins dentaires et près de 11 points pour les « autres biens médicaux ».</w:t>
      </w:r>
    </w:p>
    <w:p w:rsidR="00083F1A" w:rsidRDefault="00083F1A" w:rsidP="00607AD1">
      <w:pPr>
        <w:ind w:left="1134"/>
        <w:sectPr w:rsidR="00083F1A" w:rsidSect="00083F1A">
          <w:type w:val="continuous"/>
          <w:pgSz w:w="11906" w:h="16838"/>
          <w:pgMar w:top="1928" w:right="1418" w:bottom="1135" w:left="993" w:header="709" w:footer="709" w:gutter="0"/>
          <w:cols w:space="708"/>
          <w:docGrid w:linePitch="360"/>
        </w:sectPr>
      </w:pPr>
    </w:p>
    <w:p w:rsidR="00607AD1" w:rsidRDefault="00607AD1" w:rsidP="00607AD1">
      <w:pPr>
        <w:ind w:left="1134"/>
      </w:pPr>
    </w:p>
    <w:p w:rsidR="00607AD1" w:rsidRDefault="00607AD1" w:rsidP="00607AD1"/>
    <w:p w:rsidR="00C55157" w:rsidRDefault="00C55157" w:rsidP="00607AD1"/>
    <w:p w:rsidR="00C55157" w:rsidRDefault="00F86138" w:rsidP="00607AD1">
      <w:r>
        <w:rPr>
          <w:noProof/>
          <w:lang w:eastAsia="fr-FR"/>
        </w:rPr>
        <w:pict>
          <v:shape id="_x0000_s1068" type="#_x0000_t202" style="position:absolute;left:0;text-align:left;margin-left:228.05pt;margin-top:19.6pt;width:221.1pt;height:30.55pt;z-index:251715584;mso-width-relative:margin;mso-height-relative:margin;v-text-anchor:middle" filled="f" stroked="f">
            <v:textbox>
              <w:txbxContent>
                <w:p w:rsidR="00144D6D" w:rsidRDefault="00144D6D" w:rsidP="009511BB">
                  <w:pPr>
                    <w:spacing w:after="0" w:line="240" w:lineRule="auto"/>
                    <w:jc w:val="left"/>
                    <w:rPr>
                      <w:color w:val="262626" w:themeColor="text1" w:themeTint="D9"/>
                      <w:sz w:val="18"/>
                      <w:szCs w:val="18"/>
                    </w:rPr>
                  </w:pPr>
                  <w:r>
                    <w:rPr>
                      <w:color w:val="262626" w:themeColor="text1" w:themeTint="D9"/>
                      <w:sz w:val="18"/>
                      <w:szCs w:val="18"/>
                    </w:rPr>
                    <w:t>* Consommation de soins et de biens médicaux</w:t>
                  </w:r>
                </w:p>
                <w:p w:rsidR="00144D6D" w:rsidRPr="009B5428" w:rsidRDefault="00144D6D" w:rsidP="009511BB">
                  <w:pPr>
                    <w:spacing w:after="0" w:line="240" w:lineRule="auto"/>
                    <w:jc w:val="left"/>
                    <w:rPr>
                      <w:color w:val="262626" w:themeColor="text1" w:themeTint="D9"/>
                      <w:sz w:val="18"/>
                      <w:szCs w:val="18"/>
                    </w:rPr>
                  </w:pPr>
                  <w:r w:rsidRPr="009B5428">
                    <w:rPr>
                      <w:color w:val="262626" w:themeColor="text1" w:themeTint="D9"/>
                      <w:sz w:val="18"/>
                      <w:szCs w:val="18"/>
                    </w:rPr>
                    <w:t>Source : Drees (compte</w:t>
                  </w:r>
                  <w:r>
                    <w:rPr>
                      <w:color w:val="262626" w:themeColor="text1" w:themeTint="D9"/>
                      <w:sz w:val="18"/>
                      <w:szCs w:val="18"/>
                    </w:rPr>
                    <w:t>s</w:t>
                  </w:r>
                  <w:r w:rsidRPr="009B5428">
                    <w:rPr>
                      <w:color w:val="262626" w:themeColor="text1" w:themeTint="D9"/>
                      <w:sz w:val="18"/>
                      <w:szCs w:val="18"/>
                    </w:rPr>
                    <w:t xml:space="preserve"> de l</w:t>
                  </w:r>
                  <w:r>
                    <w:rPr>
                      <w:color w:val="262626" w:themeColor="text1" w:themeTint="D9"/>
                      <w:sz w:val="18"/>
                      <w:szCs w:val="18"/>
                    </w:rPr>
                    <w:t>a santé)</w:t>
                  </w:r>
                </w:p>
                <w:p w:rsidR="00144D6D" w:rsidRPr="009B5428" w:rsidRDefault="00144D6D" w:rsidP="009511BB">
                  <w:pPr>
                    <w:jc w:val="left"/>
                    <w:rPr>
                      <w:color w:val="262626" w:themeColor="text1" w:themeTint="D9"/>
                      <w:sz w:val="18"/>
                      <w:szCs w:val="18"/>
                    </w:rPr>
                  </w:pPr>
                </w:p>
              </w:txbxContent>
            </v:textbox>
          </v:shape>
        </w:pict>
      </w:r>
    </w:p>
    <w:p w:rsidR="00C55157" w:rsidRPr="0008292A" w:rsidRDefault="00C55157" w:rsidP="00607AD1">
      <w:pPr>
        <w:rPr>
          <w:color w:val="262626" w:themeColor="text1" w:themeTint="D9"/>
        </w:rPr>
      </w:pPr>
    </w:p>
    <w:p w:rsidR="00771969" w:rsidRDefault="00771969" w:rsidP="00C55157">
      <w:pPr>
        <w:pStyle w:val="Textedebase"/>
        <w:ind w:left="0" w:right="1557"/>
        <w:jc w:val="left"/>
        <w:sectPr w:rsidR="00771969" w:rsidSect="00415E08">
          <w:type w:val="continuous"/>
          <w:pgSz w:w="11906" w:h="16838"/>
          <w:pgMar w:top="1928" w:right="1418" w:bottom="1135" w:left="993" w:header="709" w:footer="709" w:gutter="0"/>
          <w:cols w:space="708"/>
          <w:docGrid w:linePitch="360"/>
        </w:sectPr>
      </w:pPr>
    </w:p>
    <w:p w:rsidR="00771969" w:rsidRDefault="00771969" w:rsidP="00771969">
      <w:pPr>
        <w:pStyle w:val="Textedebase"/>
        <w:ind w:left="0" w:right="-2"/>
        <w:jc w:val="left"/>
      </w:pPr>
    </w:p>
    <w:p w:rsidR="00EB23AF" w:rsidRDefault="000F401D" w:rsidP="00771969">
      <w:pPr>
        <w:pStyle w:val="Textedebase"/>
        <w:ind w:left="0" w:right="-2"/>
        <w:jc w:val="left"/>
      </w:pPr>
      <w:r>
        <w:t>En France, le</w:t>
      </w:r>
      <w:r w:rsidR="00035C2F" w:rsidRPr="0008292A">
        <w:t xml:space="preserve"> </w:t>
      </w:r>
      <w:r>
        <w:t>poids</w:t>
      </w:r>
      <w:r w:rsidR="00035C2F" w:rsidRPr="0008292A">
        <w:t xml:space="preserve"> des</w:t>
      </w:r>
      <w:r w:rsidR="00EB23AF" w:rsidRPr="0008292A">
        <w:t xml:space="preserve"> OCAM </w:t>
      </w:r>
      <w:r w:rsidR="00035C2F" w:rsidRPr="0008292A">
        <w:t xml:space="preserve">dans le financement de la santé </w:t>
      </w:r>
      <w:r>
        <w:t xml:space="preserve">est supérieur </w:t>
      </w:r>
      <w:r w:rsidR="00C55157" w:rsidRPr="0008292A">
        <w:t xml:space="preserve">à </w:t>
      </w:r>
      <w:r>
        <w:t>celui</w:t>
      </w:r>
      <w:r w:rsidR="00C55157" w:rsidRPr="0008292A">
        <w:t xml:space="preserve"> observable dans les</w:t>
      </w:r>
      <w:r w:rsidR="00753AEB" w:rsidRPr="0008292A">
        <w:t xml:space="preserve"> autres pays développés. </w:t>
      </w:r>
      <w:r w:rsidR="00035C2F" w:rsidRPr="0008292A">
        <w:t>Cette caractéristique permet aux ménages français de support</w:t>
      </w:r>
      <w:r w:rsidR="00753AEB" w:rsidRPr="0008292A">
        <w:t>er</w:t>
      </w:r>
      <w:r w:rsidR="00035C2F" w:rsidRPr="0008292A">
        <w:t xml:space="preserve"> un reste à charge relativement faible en proportion </w:t>
      </w:r>
      <w:r w:rsidR="00753AEB" w:rsidRPr="0008292A">
        <w:t>comparé a</w:t>
      </w:r>
      <w:r>
        <w:t>ux</w:t>
      </w:r>
      <w:r w:rsidR="00753AEB" w:rsidRPr="0008292A">
        <w:t xml:space="preserve"> autres pays. La France est ainsi le pays, après les Pays-Bas, où les ménages supportent la plus faible </w:t>
      </w:r>
      <w:r w:rsidR="00771969">
        <w:t>fraction</w:t>
      </w:r>
      <w:r w:rsidR="00753AEB" w:rsidRPr="0008292A">
        <w:t xml:space="preserve"> des dépenses de santé.</w:t>
      </w:r>
    </w:p>
    <w:p w:rsidR="00771969" w:rsidRDefault="00771969" w:rsidP="00771969">
      <w:pPr>
        <w:pStyle w:val="Textedebase"/>
        <w:ind w:left="0" w:right="-2"/>
        <w:jc w:val="left"/>
      </w:pPr>
    </w:p>
    <w:p w:rsidR="00771969" w:rsidRPr="0008292A" w:rsidRDefault="00771969" w:rsidP="00771969">
      <w:pPr>
        <w:pStyle w:val="Textedebase"/>
        <w:ind w:left="0" w:right="-2"/>
        <w:jc w:val="left"/>
      </w:pPr>
      <w:r w:rsidRPr="0008292A">
        <w:t xml:space="preserve">Les OCAM sont amenés à </w:t>
      </w:r>
      <w:r>
        <w:t xml:space="preserve">prendre du poids et à </w:t>
      </w:r>
      <w:r w:rsidRPr="0008292A">
        <w:t>coexister avec l’</w:t>
      </w:r>
      <w:r w:rsidR="004759CA">
        <w:t>Assurance maladie</w:t>
      </w:r>
      <w:r w:rsidRPr="0008292A">
        <w:t>. Le modèle dominant du système de santé français demeurera le modèle bismarckien. Il apparaît néanmoins nécessaire d’adapter la gouvernance du système pour permettre à la sphère privée de participer également à la régulation des dépenses de santé.</w:t>
      </w:r>
    </w:p>
    <w:p w:rsidR="00771969" w:rsidRDefault="00771969" w:rsidP="00C55157">
      <w:pPr>
        <w:pStyle w:val="Textedebase"/>
        <w:ind w:left="0" w:right="1557"/>
        <w:jc w:val="left"/>
        <w:sectPr w:rsidR="00771969" w:rsidSect="00771969">
          <w:type w:val="continuous"/>
          <w:pgSz w:w="11906" w:h="16838"/>
          <w:pgMar w:top="1928" w:right="1418" w:bottom="1135" w:left="993" w:header="709" w:footer="709" w:gutter="0"/>
          <w:cols w:num="2" w:space="708"/>
          <w:docGrid w:linePitch="360"/>
        </w:sectPr>
      </w:pPr>
    </w:p>
    <w:p w:rsidR="00771969" w:rsidRPr="0008292A" w:rsidRDefault="00F86138" w:rsidP="00C55157">
      <w:pPr>
        <w:pStyle w:val="Textedebase"/>
        <w:ind w:left="0" w:right="1557"/>
        <w:jc w:val="left"/>
      </w:pPr>
      <w:r>
        <w:rPr>
          <w:noProof/>
          <w:lang w:eastAsia="fr-FR"/>
        </w:rPr>
        <w:lastRenderedPageBreak/>
        <w:pict>
          <v:shape id="_x0000_s1069" type="#_x0000_t202" style="position:absolute;margin-left:-5.2pt;margin-top:21.3pt;width:325.3pt;height:33pt;z-index:251717632;mso-width-relative:margin;mso-height-relative:margin" filled="f" stroked="f">
            <v:textbox style="mso-next-textbox:#_x0000_s1069">
              <w:txbxContent>
                <w:p w:rsidR="00144D6D" w:rsidRDefault="00144D6D" w:rsidP="00C9097E">
                  <w:pPr>
                    <w:tabs>
                      <w:tab w:val="left" w:pos="993"/>
                    </w:tabs>
                    <w:spacing w:after="0" w:line="240" w:lineRule="auto"/>
                    <w:ind w:left="990" w:hanging="990"/>
                    <w:jc w:val="left"/>
                    <w:rPr>
                      <w:color w:val="7A003C"/>
                      <w:sz w:val="18"/>
                      <w:szCs w:val="18"/>
                    </w:rPr>
                  </w:pPr>
                  <w:r>
                    <w:rPr>
                      <w:color w:val="7A003C"/>
                      <w:sz w:val="18"/>
                      <w:szCs w:val="18"/>
                    </w:rPr>
                    <w:t>Graph 18</w:t>
                  </w:r>
                  <w:r w:rsidRPr="00987897">
                    <w:rPr>
                      <w:color w:val="7A003C"/>
                      <w:sz w:val="18"/>
                      <w:szCs w:val="18"/>
                    </w:rPr>
                    <w:t>.</w:t>
                  </w:r>
                  <w:r>
                    <w:rPr>
                      <w:color w:val="7A003C"/>
                      <w:sz w:val="18"/>
                      <w:szCs w:val="18"/>
                    </w:rPr>
                    <w:tab/>
                  </w:r>
                  <w:r>
                    <w:rPr>
                      <w:b/>
                      <w:color w:val="262626" w:themeColor="text1" w:themeTint="D9"/>
                      <w:sz w:val="20"/>
                      <w:szCs w:val="20"/>
                    </w:rPr>
                    <w:t xml:space="preserve">Sources de financement des dépenses courantes de santé </w:t>
                  </w:r>
                </w:p>
                <w:p w:rsidR="00144D6D" w:rsidRPr="00987897" w:rsidRDefault="00144D6D" w:rsidP="00C9097E">
                  <w:pPr>
                    <w:tabs>
                      <w:tab w:val="left" w:pos="993"/>
                    </w:tabs>
                    <w:spacing w:after="0" w:line="240" w:lineRule="auto"/>
                    <w:ind w:firstLine="708"/>
                    <w:jc w:val="left"/>
                    <w:rPr>
                      <w:i/>
                      <w:color w:val="262626" w:themeColor="text1" w:themeTint="D9"/>
                      <w:sz w:val="18"/>
                      <w:szCs w:val="18"/>
                    </w:rPr>
                  </w:pPr>
                  <w:r>
                    <w:rPr>
                      <w:color w:val="7A003C"/>
                      <w:sz w:val="18"/>
                      <w:szCs w:val="18"/>
                    </w:rPr>
                    <w:tab/>
                  </w:r>
                  <w:r>
                    <w:rPr>
                      <w:i/>
                      <w:color w:val="262626" w:themeColor="text1" w:themeTint="D9"/>
                      <w:sz w:val="18"/>
                      <w:szCs w:val="18"/>
                    </w:rPr>
                    <w:t>En pourcentage des dépenses de santé ; en 2010</w:t>
                  </w:r>
                </w:p>
                <w:p w:rsidR="00144D6D" w:rsidRPr="00987897" w:rsidRDefault="00144D6D" w:rsidP="00C9097E">
                  <w:pPr>
                    <w:rPr>
                      <w:color w:val="7A003C"/>
                      <w:sz w:val="18"/>
                      <w:szCs w:val="18"/>
                    </w:rPr>
                  </w:pPr>
                </w:p>
              </w:txbxContent>
            </v:textbox>
          </v:shape>
        </w:pict>
      </w:r>
    </w:p>
    <w:p w:rsidR="00C55157" w:rsidRPr="00753AEB" w:rsidRDefault="00771969" w:rsidP="00C55157">
      <w:pPr>
        <w:pStyle w:val="Textedebase"/>
        <w:ind w:left="0" w:right="1557"/>
        <w:jc w:val="left"/>
        <w:rPr>
          <w:color w:val="auto"/>
        </w:rPr>
      </w:pPr>
      <w:r>
        <w:rPr>
          <w:noProof/>
          <w:color w:val="auto"/>
          <w:lang w:eastAsia="fr-FR"/>
        </w:rPr>
        <w:drawing>
          <wp:anchor distT="0" distB="0" distL="114300" distR="114300" simplePos="0" relativeHeight="251739136" behindDoc="0" locked="0" layoutInCell="1" allowOverlap="1">
            <wp:simplePos x="0" y="0"/>
            <wp:positionH relativeFrom="column">
              <wp:posOffset>-68580</wp:posOffset>
            </wp:positionH>
            <wp:positionV relativeFrom="paragraph">
              <wp:posOffset>299085</wp:posOffset>
            </wp:positionV>
            <wp:extent cx="6353175" cy="2524125"/>
            <wp:effectExtent l="0" t="0" r="0" b="0"/>
            <wp:wrapNone/>
            <wp:docPr id="2"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753AEB" w:rsidRDefault="00753AEB" w:rsidP="00753AEB">
      <w:pPr>
        <w:rPr>
          <w:color w:val="0D0D0D" w:themeColor="text1" w:themeTint="F2"/>
        </w:rPr>
      </w:pPr>
    </w:p>
    <w:p w:rsidR="00C55157" w:rsidRDefault="00C55157" w:rsidP="00C55157">
      <w:pPr>
        <w:pStyle w:val="Textedebase"/>
        <w:ind w:left="0"/>
        <w:rPr>
          <w:color w:val="FF0000"/>
        </w:rPr>
      </w:pPr>
    </w:p>
    <w:p w:rsidR="00753AEB" w:rsidRDefault="00753AEB" w:rsidP="00EB23AF">
      <w:pPr>
        <w:pStyle w:val="Textedebase"/>
        <w:rPr>
          <w:color w:val="FF0000"/>
        </w:rPr>
      </w:pPr>
    </w:p>
    <w:p w:rsidR="00771969" w:rsidRDefault="00771969" w:rsidP="0090392E">
      <w:pPr>
        <w:pStyle w:val="Titre2"/>
        <w:keepNext w:val="0"/>
        <w:keepLines w:val="0"/>
        <w:spacing w:before="0" w:after="120"/>
        <w:ind w:left="705" w:right="3541" w:hanging="705"/>
        <w:rPr>
          <w:rFonts w:eastAsiaTheme="minorHAnsi" w:cstheme="minorBidi"/>
          <w:bCs w:val="0"/>
          <w:color w:val="7A003C"/>
          <w:sz w:val="18"/>
          <w:szCs w:val="18"/>
        </w:rPr>
      </w:pPr>
    </w:p>
    <w:p w:rsidR="00771969" w:rsidRDefault="00771969" w:rsidP="0090392E">
      <w:pPr>
        <w:pStyle w:val="Titre2"/>
        <w:keepNext w:val="0"/>
        <w:keepLines w:val="0"/>
        <w:spacing w:before="0" w:after="120"/>
        <w:ind w:left="705" w:right="3541" w:hanging="705"/>
        <w:rPr>
          <w:rFonts w:eastAsiaTheme="minorHAnsi" w:cstheme="minorBidi"/>
          <w:bCs w:val="0"/>
          <w:color w:val="7A003C"/>
          <w:sz w:val="18"/>
          <w:szCs w:val="18"/>
        </w:rPr>
      </w:pPr>
    </w:p>
    <w:p w:rsidR="00771969" w:rsidRDefault="00771969" w:rsidP="0090392E">
      <w:pPr>
        <w:pStyle w:val="Titre2"/>
        <w:keepNext w:val="0"/>
        <w:keepLines w:val="0"/>
        <w:spacing w:before="0" w:after="120"/>
        <w:ind w:left="705" w:right="3541" w:hanging="705"/>
        <w:rPr>
          <w:rFonts w:eastAsiaTheme="minorHAnsi" w:cstheme="minorBidi"/>
          <w:bCs w:val="0"/>
          <w:color w:val="7A003C"/>
          <w:sz w:val="18"/>
          <w:szCs w:val="18"/>
        </w:rPr>
      </w:pPr>
    </w:p>
    <w:p w:rsidR="00771969" w:rsidRDefault="00771969" w:rsidP="0090392E">
      <w:pPr>
        <w:pStyle w:val="Titre2"/>
        <w:keepNext w:val="0"/>
        <w:keepLines w:val="0"/>
        <w:spacing w:before="0" w:after="120"/>
        <w:ind w:left="705" w:right="3541" w:hanging="705"/>
        <w:rPr>
          <w:rFonts w:eastAsiaTheme="minorHAnsi" w:cstheme="minorBidi"/>
          <w:bCs w:val="0"/>
          <w:color w:val="7A003C"/>
          <w:sz w:val="18"/>
          <w:szCs w:val="18"/>
        </w:rPr>
      </w:pPr>
    </w:p>
    <w:p w:rsidR="00771969" w:rsidRDefault="00771969" w:rsidP="0090392E">
      <w:pPr>
        <w:pStyle w:val="Titre2"/>
        <w:keepNext w:val="0"/>
        <w:keepLines w:val="0"/>
        <w:spacing w:before="0" w:after="120"/>
        <w:ind w:left="705" w:right="3541" w:hanging="705"/>
        <w:rPr>
          <w:rFonts w:eastAsiaTheme="minorHAnsi" w:cstheme="minorBidi"/>
          <w:bCs w:val="0"/>
          <w:color w:val="7A003C"/>
          <w:sz w:val="18"/>
          <w:szCs w:val="18"/>
        </w:rPr>
      </w:pPr>
    </w:p>
    <w:p w:rsidR="00771969" w:rsidRDefault="00771969" w:rsidP="0090392E">
      <w:pPr>
        <w:pStyle w:val="Titre2"/>
        <w:keepNext w:val="0"/>
        <w:keepLines w:val="0"/>
        <w:spacing w:before="0" w:after="120"/>
        <w:ind w:left="705" w:right="3541" w:hanging="705"/>
        <w:rPr>
          <w:rFonts w:eastAsiaTheme="minorHAnsi" w:cstheme="minorBidi"/>
          <w:bCs w:val="0"/>
          <w:color w:val="7A003C"/>
          <w:sz w:val="18"/>
          <w:szCs w:val="18"/>
        </w:rPr>
      </w:pPr>
    </w:p>
    <w:p w:rsidR="00771969" w:rsidRDefault="00F86138" w:rsidP="0090392E">
      <w:pPr>
        <w:pStyle w:val="Titre2"/>
        <w:keepNext w:val="0"/>
        <w:keepLines w:val="0"/>
        <w:spacing w:before="0" w:after="120"/>
        <w:ind w:left="705" w:right="3541" w:hanging="705"/>
        <w:rPr>
          <w:rFonts w:eastAsiaTheme="minorHAnsi" w:cstheme="minorBidi"/>
          <w:bCs w:val="0"/>
          <w:color w:val="7A003C"/>
          <w:sz w:val="18"/>
          <w:szCs w:val="18"/>
        </w:rPr>
      </w:pPr>
      <w:r>
        <w:rPr>
          <w:noProof/>
          <w:color w:val="auto"/>
          <w:lang w:eastAsia="fr-FR"/>
        </w:rPr>
        <w:pict>
          <v:shape id="_x0000_s1070" type="#_x0000_t202" style="position:absolute;left:0;text-align:left;margin-left:3.8pt;margin-top:11.4pt;width:370.9pt;height:32.2pt;z-index:251718656;mso-width-relative:margin;mso-height-relative:margin;v-text-anchor:middle" filled="f" stroked="f">
            <v:textbox style="mso-next-textbox:#_x0000_s1070">
              <w:txbxContent>
                <w:p w:rsidR="00144D6D" w:rsidRDefault="00144D6D" w:rsidP="00C9097E">
                  <w:pPr>
                    <w:spacing w:after="0" w:line="240" w:lineRule="auto"/>
                    <w:jc w:val="left"/>
                    <w:rPr>
                      <w:color w:val="262626" w:themeColor="text1" w:themeTint="D9"/>
                      <w:sz w:val="18"/>
                      <w:szCs w:val="18"/>
                    </w:rPr>
                  </w:pPr>
                  <w:r w:rsidRPr="00C9097E">
                    <w:rPr>
                      <w:color w:val="262626" w:themeColor="text1" w:themeTint="D9"/>
                      <w:sz w:val="18"/>
                      <w:szCs w:val="18"/>
                    </w:rPr>
                    <w:t xml:space="preserve">Note : * données 2009 ou dernière </w:t>
                  </w:r>
                  <w:r>
                    <w:rPr>
                      <w:color w:val="262626" w:themeColor="text1" w:themeTint="D9"/>
                      <w:sz w:val="18"/>
                      <w:szCs w:val="18"/>
                    </w:rPr>
                    <w:t>année connue</w:t>
                  </w:r>
                </w:p>
                <w:p w:rsidR="00144D6D" w:rsidRPr="00C9097E" w:rsidRDefault="00144D6D" w:rsidP="00C9097E">
                  <w:pPr>
                    <w:spacing w:after="0" w:line="240" w:lineRule="auto"/>
                    <w:jc w:val="left"/>
                    <w:rPr>
                      <w:color w:val="262626" w:themeColor="text1" w:themeTint="D9"/>
                      <w:sz w:val="18"/>
                      <w:szCs w:val="18"/>
                    </w:rPr>
                  </w:pPr>
                  <w:r w:rsidRPr="00C9097E">
                    <w:rPr>
                      <w:color w:val="262626" w:themeColor="text1" w:themeTint="D9"/>
                      <w:sz w:val="18"/>
                      <w:szCs w:val="18"/>
                    </w:rPr>
                    <w:t>Source : OCDE (</w:t>
                  </w:r>
                  <w:proofErr w:type="spellStart"/>
                  <w:r w:rsidRPr="00C9097E">
                    <w:rPr>
                      <w:color w:val="262626" w:themeColor="text1" w:themeTint="D9"/>
                      <w:sz w:val="18"/>
                      <w:szCs w:val="18"/>
                    </w:rPr>
                    <w:t>Health</w:t>
                  </w:r>
                  <w:proofErr w:type="spellEnd"/>
                  <w:r w:rsidRPr="00C9097E">
                    <w:rPr>
                      <w:color w:val="262626" w:themeColor="text1" w:themeTint="D9"/>
                      <w:sz w:val="18"/>
                      <w:szCs w:val="18"/>
                    </w:rPr>
                    <w:t xml:space="preserve"> Data 2012)</w:t>
                  </w:r>
                </w:p>
                <w:p w:rsidR="00144D6D" w:rsidRPr="00C9097E" w:rsidRDefault="00144D6D" w:rsidP="00C9097E">
                  <w:pPr>
                    <w:jc w:val="left"/>
                    <w:rPr>
                      <w:color w:val="262626" w:themeColor="text1" w:themeTint="D9"/>
                      <w:sz w:val="18"/>
                      <w:szCs w:val="18"/>
                    </w:rPr>
                  </w:pPr>
                </w:p>
              </w:txbxContent>
            </v:textbox>
          </v:shape>
        </w:pict>
      </w:r>
    </w:p>
    <w:p w:rsidR="00771969" w:rsidRDefault="00771969" w:rsidP="0090392E">
      <w:pPr>
        <w:pStyle w:val="Titre2"/>
        <w:keepNext w:val="0"/>
        <w:keepLines w:val="0"/>
        <w:spacing w:before="0" w:after="120"/>
        <w:ind w:left="705" w:right="3541" w:hanging="705"/>
        <w:rPr>
          <w:rFonts w:eastAsiaTheme="minorHAnsi" w:cstheme="minorBidi"/>
          <w:bCs w:val="0"/>
          <w:color w:val="7A003C"/>
          <w:sz w:val="18"/>
          <w:szCs w:val="18"/>
        </w:rPr>
      </w:pPr>
    </w:p>
    <w:p w:rsidR="0090392E" w:rsidRPr="00251457" w:rsidRDefault="0090392E" w:rsidP="00771969">
      <w:pPr>
        <w:pStyle w:val="Titre2"/>
        <w:keepNext w:val="0"/>
        <w:keepLines w:val="0"/>
        <w:spacing w:before="0" w:after="120"/>
        <w:ind w:left="705" w:right="3541" w:hanging="705"/>
        <w:rPr>
          <w:color w:val="1F497D" w:themeColor="text2"/>
        </w:rPr>
      </w:pPr>
      <w:r>
        <w:rPr>
          <w:rFonts w:eastAsiaTheme="minorHAnsi" w:cstheme="minorBidi"/>
          <w:bCs w:val="0"/>
          <w:color w:val="7A003C"/>
          <w:sz w:val="18"/>
          <w:szCs w:val="18"/>
        </w:rPr>
        <w:lastRenderedPageBreak/>
        <w:t>[2.2</w:t>
      </w:r>
      <w:r w:rsidRPr="00987897">
        <w:rPr>
          <w:rFonts w:eastAsiaTheme="minorHAnsi" w:cstheme="minorBidi"/>
          <w:bCs w:val="0"/>
          <w:color w:val="7A003C"/>
          <w:sz w:val="18"/>
          <w:szCs w:val="18"/>
        </w:rPr>
        <w:t>]</w:t>
      </w:r>
      <w:r w:rsidRPr="00987897">
        <w:rPr>
          <w:rFonts w:eastAsiaTheme="minorHAnsi" w:cstheme="minorBidi"/>
          <w:bCs w:val="0"/>
          <w:color w:val="7A003C"/>
          <w:sz w:val="18"/>
          <w:szCs w:val="18"/>
        </w:rPr>
        <w:tab/>
      </w:r>
      <w:r w:rsidR="00817A4F">
        <w:rPr>
          <w:i/>
          <w:color w:val="17365D" w:themeColor="text2" w:themeShade="BF"/>
          <w:sz w:val="28"/>
          <w:szCs w:val="28"/>
        </w:rPr>
        <w:t>L</w:t>
      </w:r>
      <w:r>
        <w:rPr>
          <w:i/>
          <w:color w:val="17365D" w:themeColor="text2" w:themeShade="BF"/>
          <w:sz w:val="28"/>
          <w:szCs w:val="28"/>
        </w:rPr>
        <w:t>eur rôle dans la régulation des dépenses doit donc se renforcer</w:t>
      </w:r>
    </w:p>
    <w:p w:rsidR="002D5CA9" w:rsidRDefault="002D5CA9" w:rsidP="00121302">
      <w:pPr>
        <w:pStyle w:val="Textedebase"/>
        <w:ind w:left="0"/>
        <w:rPr>
          <w:color w:val="auto"/>
        </w:rPr>
        <w:sectPr w:rsidR="002D5CA9" w:rsidSect="00415E08">
          <w:type w:val="continuous"/>
          <w:pgSz w:w="11906" w:h="16838"/>
          <w:pgMar w:top="1928" w:right="1418" w:bottom="1135" w:left="993" w:header="709" w:footer="709" w:gutter="0"/>
          <w:cols w:space="708"/>
          <w:docGrid w:linePitch="360"/>
        </w:sectPr>
      </w:pPr>
    </w:p>
    <w:p w:rsidR="0086437B" w:rsidRDefault="0086437B" w:rsidP="0086437B">
      <w:pPr>
        <w:pStyle w:val="Textedebase"/>
        <w:ind w:left="0" w:right="-3"/>
        <w:jc w:val="left"/>
      </w:pPr>
    </w:p>
    <w:p w:rsidR="009177EC" w:rsidRPr="0008292A" w:rsidRDefault="00121302" w:rsidP="0086437B">
      <w:pPr>
        <w:pStyle w:val="Textedebase"/>
        <w:ind w:left="0" w:right="-3"/>
        <w:jc w:val="left"/>
      </w:pPr>
      <w:r w:rsidRPr="0008292A">
        <w:t xml:space="preserve">La santé est un marché particulier car, contrairement à un marché « traditionnel », la demande est </w:t>
      </w:r>
      <w:r w:rsidR="00501581" w:rsidRPr="0008292A">
        <w:t xml:space="preserve">très </w:t>
      </w:r>
      <w:r w:rsidRPr="0008292A">
        <w:t>peu</w:t>
      </w:r>
      <w:r w:rsidR="00501581" w:rsidRPr="0008292A">
        <w:t xml:space="preserve"> </w:t>
      </w:r>
      <w:r w:rsidRPr="0008292A">
        <w:t xml:space="preserve">sensible au prix et les consommateurs sont en situation d’asymétrie d’information </w:t>
      </w:r>
      <w:r w:rsidR="00501581" w:rsidRPr="0008292A">
        <w:t>élevée</w:t>
      </w:r>
      <w:r w:rsidR="009177EC" w:rsidRPr="0008292A">
        <w:t xml:space="preserve"> (voir encadré 3)</w:t>
      </w:r>
      <w:r w:rsidRPr="0008292A">
        <w:t>. Ces particularités justifient que des mécanisme</w:t>
      </w:r>
      <w:r w:rsidR="0086437B">
        <w:t xml:space="preserve">s de régulation soient établis. </w:t>
      </w:r>
      <w:r w:rsidR="00DB4EBD" w:rsidRPr="0008292A">
        <w:t>En outre</w:t>
      </w:r>
      <w:r w:rsidRPr="0008292A">
        <w:t xml:space="preserve">, la progression structurelle des dépenses de santé et l’absence de réforme du mode de financement menacent la pérennité du système. </w:t>
      </w:r>
    </w:p>
    <w:p w:rsidR="00121302" w:rsidRDefault="00B973A5" w:rsidP="002D5CA9">
      <w:pPr>
        <w:pStyle w:val="Textedebase"/>
        <w:ind w:left="0"/>
        <w:jc w:val="left"/>
        <w:rPr>
          <w:b/>
        </w:rPr>
      </w:pPr>
      <w:r w:rsidRPr="0008292A">
        <w:t>I</w:t>
      </w:r>
      <w:r w:rsidR="00121302" w:rsidRPr="0008292A">
        <w:t xml:space="preserve">l est </w:t>
      </w:r>
      <w:r w:rsidRPr="0008292A">
        <w:t xml:space="preserve">donc </w:t>
      </w:r>
      <w:r w:rsidR="00121302" w:rsidRPr="0008292A">
        <w:t xml:space="preserve">nécessaire de développer des moyens pour préserver la solvabilité de la demande de soins sur le long terme, </w:t>
      </w:r>
      <w:r w:rsidR="00121302" w:rsidRPr="0008292A">
        <w:rPr>
          <w:b/>
        </w:rPr>
        <w:t>autant dans l’intérêt des patients que des professionnels de santé.</w:t>
      </w:r>
    </w:p>
    <w:p w:rsidR="0086437B" w:rsidRPr="0008292A" w:rsidRDefault="0086437B" w:rsidP="0086437B">
      <w:pPr>
        <w:pStyle w:val="Textedebase"/>
        <w:ind w:left="0"/>
        <w:jc w:val="left"/>
      </w:pPr>
      <w:r w:rsidRPr="0008292A">
        <w:t>L’</w:t>
      </w:r>
      <w:r w:rsidR="004759CA">
        <w:t>Assurance maladie</w:t>
      </w:r>
      <w:r w:rsidRPr="0008292A">
        <w:t xml:space="preserve"> a développé de nombreux mécanismes pour réguler ses dépenses (baisse des remboursements, renforcement </w:t>
      </w:r>
      <w:r w:rsidR="00817A4F">
        <w:t>du ticket modérateur, réduction</w:t>
      </w:r>
      <w:r w:rsidRPr="0008292A">
        <w:t xml:space="preserve"> des prix, réforme du « médecin traitant », mise en place de référentiels de</w:t>
      </w:r>
      <w:r>
        <w:t xml:space="preserve"> prescriptions, prévention…</w:t>
      </w:r>
      <w:r w:rsidRPr="0008292A">
        <w:t>)</w:t>
      </w:r>
      <w:r>
        <w:t>.</w:t>
      </w:r>
    </w:p>
    <w:p w:rsidR="0086437B" w:rsidRDefault="0086437B" w:rsidP="0086437B">
      <w:pPr>
        <w:pStyle w:val="Textedebase"/>
        <w:ind w:left="0"/>
        <w:jc w:val="left"/>
      </w:pPr>
    </w:p>
    <w:p w:rsidR="0086437B" w:rsidRDefault="0086437B" w:rsidP="0086437B">
      <w:pPr>
        <w:pStyle w:val="Textedebase"/>
        <w:ind w:left="0"/>
        <w:jc w:val="left"/>
      </w:pPr>
    </w:p>
    <w:p w:rsidR="0086437B" w:rsidRDefault="0086437B" w:rsidP="0086437B">
      <w:pPr>
        <w:pStyle w:val="Textedebase"/>
        <w:ind w:left="0"/>
        <w:jc w:val="left"/>
      </w:pPr>
    </w:p>
    <w:p w:rsidR="0086437B" w:rsidRDefault="0086437B" w:rsidP="0086437B">
      <w:pPr>
        <w:pStyle w:val="Textedebase"/>
        <w:ind w:left="0"/>
        <w:jc w:val="left"/>
      </w:pPr>
    </w:p>
    <w:p w:rsidR="0086437B" w:rsidRDefault="0086437B" w:rsidP="0086437B">
      <w:pPr>
        <w:pStyle w:val="Textedebase"/>
        <w:ind w:left="0"/>
        <w:jc w:val="left"/>
      </w:pPr>
    </w:p>
    <w:p w:rsidR="0086437B" w:rsidRDefault="0086437B" w:rsidP="0086437B">
      <w:pPr>
        <w:pStyle w:val="Textedebase"/>
        <w:ind w:left="0"/>
        <w:jc w:val="left"/>
      </w:pPr>
    </w:p>
    <w:p w:rsidR="0086437B" w:rsidRDefault="0086437B" w:rsidP="0086437B">
      <w:pPr>
        <w:pStyle w:val="Textedebase"/>
        <w:ind w:left="0"/>
        <w:jc w:val="left"/>
      </w:pPr>
    </w:p>
    <w:p w:rsidR="0086437B" w:rsidRDefault="0086437B" w:rsidP="0086437B">
      <w:pPr>
        <w:pStyle w:val="Textedebase"/>
        <w:ind w:left="0"/>
        <w:jc w:val="left"/>
      </w:pPr>
    </w:p>
    <w:p w:rsidR="0086437B" w:rsidRDefault="0086437B" w:rsidP="0086437B">
      <w:pPr>
        <w:pStyle w:val="Textedebase"/>
        <w:ind w:left="0"/>
        <w:jc w:val="left"/>
      </w:pPr>
    </w:p>
    <w:p w:rsidR="0086437B" w:rsidRDefault="0086437B" w:rsidP="0086437B">
      <w:pPr>
        <w:pStyle w:val="Textedebase"/>
        <w:ind w:left="0"/>
        <w:jc w:val="left"/>
      </w:pPr>
    </w:p>
    <w:p w:rsidR="0086437B" w:rsidRDefault="0086437B" w:rsidP="0086437B">
      <w:pPr>
        <w:pStyle w:val="Textedebase"/>
        <w:ind w:left="0"/>
        <w:jc w:val="left"/>
      </w:pPr>
    </w:p>
    <w:p w:rsidR="0086437B" w:rsidRDefault="0086437B" w:rsidP="0086437B">
      <w:pPr>
        <w:pStyle w:val="Textedebase"/>
        <w:ind w:left="0"/>
        <w:jc w:val="left"/>
      </w:pPr>
    </w:p>
    <w:p w:rsidR="0086437B" w:rsidRDefault="0086437B" w:rsidP="0086437B">
      <w:pPr>
        <w:pStyle w:val="Textedebase"/>
        <w:ind w:left="0"/>
        <w:jc w:val="left"/>
      </w:pPr>
    </w:p>
    <w:p w:rsidR="0086437B" w:rsidRDefault="0086437B" w:rsidP="0086437B">
      <w:pPr>
        <w:pStyle w:val="Textedebase"/>
        <w:ind w:left="0"/>
        <w:jc w:val="left"/>
      </w:pPr>
    </w:p>
    <w:p w:rsidR="0086437B" w:rsidRDefault="0086437B" w:rsidP="0086437B">
      <w:pPr>
        <w:pStyle w:val="Textedebase"/>
        <w:ind w:left="0"/>
        <w:jc w:val="left"/>
      </w:pPr>
      <w:r w:rsidRPr="0008292A">
        <w:t xml:space="preserve">Compte tenu du poids croissant des OCAM dans le financement de certains types de soins, il est légitime que ces derniers deviennent également de véritables acteurs de santé publique. </w:t>
      </w:r>
    </w:p>
    <w:p w:rsidR="0086437B" w:rsidRPr="0008292A" w:rsidRDefault="0086437B" w:rsidP="0086437B">
      <w:pPr>
        <w:pStyle w:val="Textedebase"/>
        <w:ind w:left="0"/>
        <w:jc w:val="left"/>
      </w:pPr>
      <w:r w:rsidRPr="0008292A">
        <w:t>A l’image de l’</w:t>
      </w:r>
      <w:r w:rsidR="004759CA">
        <w:t>Assurance maladie</w:t>
      </w:r>
      <w:r w:rsidRPr="0008292A">
        <w:t xml:space="preserve">, les OCAM devraient donc pouvoir développer des dispositifs pour réguler les dépenses qui leur incombent. </w:t>
      </w:r>
    </w:p>
    <w:p w:rsidR="0086437B" w:rsidRDefault="0086437B" w:rsidP="0086437B">
      <w:pPr>
        <w:pStyle w:val="Textedebase"/>
        <w:ind w:left="0"/>
        <w:jc w:val="left"/>
      </w:pPr>
      <w:r w:rsidRPr="0008292A">
        <w:t>Toutefois, les stratégies de régulation adoptées par les complémentaires doivent être légalement encadrées et respecter un certain nombre de règles. La première d’entre elles est le respect de l’intérêt des patients</w:t>
      </w:r>
      <w:r>
        <w:t xml:space="preserve"> et de la collectivité</w:t>
      </w:r>
      <w:r w:rsidRPr="0008292A">
        <w:t xml:space="preserve">. </w:t>
      </w:r>
    </w:p>
    <w:p w:rsidR="0086437B" w:rsidRPr="0008292A" w:rsidRDefault="0086437B" w:rsidP="0086437B">
      <w:pPr>
        <w:pStyle w:val="Textedebase"/>
        <w:ind w:left="0"/>
        <w:jc w:val="left"/>
      </w:pPr>
      <w:r w:rsidRPr="0008292A">
        <w:t>Le développement des réseaux de professionnels de santé conventionnés par les mutuelles s’inscrit dans cette démarche. En effet, ces réseaux constituent un moyen efficace pour réguler les prix tout en assurant la qualité des soins.</w:t>
      </w:r>
    </w:p>
    <w:p w:rsidR="0086437B" w:rsidRPr="0008292A" w:rsidRDefault="0086437B" w:rsidP="0086437B">
      <w:pPr>
        <w:pStyle w:val="Textedebase"/>
        <w:ind w:left="0"/>
        <w:jc w:val="left"/>
      </w:pPr>
      <w:r w:rsidRPr="0008292A">
        <w:t xml:space="preserve">A terme, il y aurait un danger à transférer aux OCAM toujours plus de soins à  financer sans leur donner les moyens de participer à la régulation des dépenses. </w:t>
      </w:r>
    </w:p>
    <w:p w:rsidR="0086437B" w:rsidRPr="0008292A" w:rsidRDefault="0086437B" w:rsidP="0086437B">
      <w:pPr>
        <w:pStyle w:val="Textedebase"/>
        <w:ind w:left="0"/>
        <w:jc w:val="left"/>
      </w:pPr>
      <w:r w:rsidRPr="0008292A">
        <w:t xml:space="preserve">Confrontées à une augmentation structurelle et non maîtrisée de leurs remboursements, les OCAM </w:t>
      </w:r>
      <w:r>
        <w:t>seraient</w:t>
      </w:r>
      <w:r w:rsidRPr="0008292A">
        <w:t xml:space="preserve"> nécessairement amenés à accroître leurs primes d’assurance. Certains ménages pourraient ainsi sélectionner un niveau de couverture moindre pour réduire leur prime d’assurance. D’autres pourraient renoncer à être </w:t>
      </w:r>
      <w:r w:rsidR="00817A4F">
        <w:t>couverts par une complémentaire</w:t>
      </w:r>
      <w:r w:rsidRPr="0008292A">
        <w:t xml:space="preserve"> en dépit du fait que certains soins </w:t>
      </w:r>
      <w:r>
        <w:t xml:space="preserve">et biens médicaux </w:t>
      </w:r>
      <w:r w:rsidRPr="0008292A">
        <w:t xml:space="preserve">sont mal remboursés par la </w:t>
      </w:r>
      <w:r>
        <w:t>Sécurité sociale</w:t>
      </w:r>
      <w:r w:rsidRPr="0008292A">
        <w:t>.</w:t>
      </w:r>
    </w:p>
    <w:p w:rsidR="0086437B" w:rsidRPr="0008292A" w:rsidRDefault="0086437B" w:rsidP="0086437B">
      <w:pPr>
        <w:pStyle w:val="Textedebase"/>
        <w:ind w:left="0"/>
        <w:jc w:val="left"/>
      </w:pPr>
      <w:r w:rsidRPr="0008292A">
        <w:t xml:space="preserve">Permettre aux OCAM de réguler certaines dépenses de santé, donc de mieux maîtriser le montant total de leur remboursement, c’est notamment leur permettre de pratiquer, toutes choses égales par ailleurs, des primes à un coût plus abordable à moyen </w:t>
      </w:r>
      <w:r w:rsidR="00817A4F">
        <w:t xml:space="preserve">et </w:t>
      </w:r>
      <w:r w:rsidRPr="0008292A">
        <w:t>long terme.</w:t>
      </w:r>
    </w:p>
    <w:p w:rsidR="0086437B" w:rsidRDefault="0086437B" w:rsidP="0086437B">
      <w:pPr>
        <w:pStyle w:val="Textedebase"/>
        <w:ind w:left="0"/>
      </w:pPr>
    </w:p>
    <w:p w:rsidR="0086437B" w:rsidRDefault="0086437B" w:rsidP="002D5CA9">
      <w:pPr>
        <w:pStyle w:val="Textedebase"/>
        <w:ind w:left="0"/>
        <w:jc w:val="left"/>
        <w:rPr>
          <w:b/>
        </w:rPr>
      </w:pPr>
    </w:p>
    <w:p w:rsidR="0086437B" w:rsidRDefault="00F86138" w:rsidP="002D5CA9">
      <w:pPr>
        <w:pStyle w:val="Textedebase"/>
        <w:ind w:left="0"/>
        <w:jc w:val="left"/>
        <w:rPr>
          <w:b/>
        </w:rPr>
      </w:pPr>
      <w:r>
        <w:rPr>
          <w:noProof/>
          <w:lang w:eastAsia="fr-FR"/>
        </w:rPr>
        <w:lastRenderedPageBreak/>
        <w:pict>
          <v:rect id="_x0000_s1071" style="position:absolute;margin-left:-50.4pt;margin-top:-6.4pt;width:600pt;height:646.5pt;z-index:251719680" fillcolor="#f2f2f2 [3052]" strokeweight="1pt">
            <v:stroke dashstyle="1 1" endcap="round"/>
            <v:textbox style="mso-next-textbox:#_x0000_s1071">
              <w:txbxContent>
                <w:p w:rsidR="00144D6D" w:rsidRPr="0008292A" w:rsidRDefault="00144D6D" w:rsidP="009177EC">
                  <w:pPr>
                    <w:pStyle w:val="Textedebase"/>
                    <w:spacing w:before="360"/>
                    <w:ind w:left="992" w:right="176"/>
                    <w:jc w:val="left"/>
                    <w:rPr>
                      <w:b/>
                      <w:sz w:val="18"/>
                      <w:szCs w:val="18"/>
                    </w:rPr>
                  </w:pPr>
                  <w:r w:rsidRPr="009E3627">
                    <w:rPr>
                      <w:color w:val="7A003C"/>
                      <w:sz w:val="18"/>
                      <w:szCs w:val="18"/>
                    </w:rPr>
                    <w:t>Encadré 3.</w:t>
                  </w:r>
                  <w:r w:rsidRPr="009E3627">
                    <w:rPr>
                      <w:color w:val="7A003C"/>
                      <w:sz w:val="18"/>
                      <w:szCs w:val="18"/>
                    </w:rPr>
                    <w:tab/>
                  </w:r>
                  <w:r>
                    <w:rPr>
                      <w:b/>
                      <w:color w:val="0D0D0D" w:themeColor="text1" w:themeTint="F2"/>
                      <w:sz w:val="18"/>
                      <w:szCs w:val="18"/>
                    </w:rPr>
                    <w:t xml:space="preserve"> </w:t>
                  </w:r>
                  <w:r w:rsidRPr="0008292A">
                    <w:rPr>
                      <w:b/>
                      <w:szCs w:val="20"/>
                    </w:rPr>
                    <w:t>La régulation des prix et des volumes de soins est économiquement justifiée car…</w:t>
                  </w:r>
                  <w:r w:rsidRPr="0008292A">
                    <w:rPr>
                      <w:b/>
                      <w:sz w:val="18"/>
                      <w:szCs w:val="18"/>
                    </w:rPr>
                    <w:t xml:space="preserve"> </w:t>
                  </w:r>
                </w:p>
                <w:p w:rsidR="00144D6D" w:rsidRPr="00CF6BF3" w:rsidRDefault="00144D6D" w:rsidP="00C020D6">
                  <w:pPr>
                    <w:pStyle w:val="Paragraphedeliste"/>
                    <w:numPr>
                      <w:ilvl w:val="0"/>
                      <w:numId w:val="2"/>
                    </w:numPr>
                    <w:ind w:left="1135" w:right="1338" w:hanging="284"/>
                    <w:contextualSpacing w:val="0"/>
                    <w:rPr>
                      <w:color w:val="262626" w:themeColor="text1" w:themeTint="D9"/>
                      <w:sz w:val="18"/>
                      <w:szCs w:val="18"/>
                    </w:rPr>
                  </w:pPr>
                  <w:r>
                    <w:rPr>
                      <w:b/>
                      <w:color w:val="7A003C"/>
                      <w:sz w:val="18"/>
                      <w:szCs w:val="18"/>
                    </w:rPr>
                    <w:t>… l</w:t>
                  </w:r>
                  <w:r w:rsidRPr="00CF6BF3">
                    <w:rPr>
                      <w:b/>
                      <w:color w:val="7A003C"/>
                      <w:sz w:val="18"/>
                      <w:szCs w:val="18"/>
                    </w:rPr>
                    <w:t xml:space="preserve">a demande est peu élastique au prix </w:t>
                  </w:r>
                </w:p>
                <w:p w:rsidR="00144D6D" w:rsidRPr="00CF6BF3" w:rsidRDefault="00144D6D" w:rsidP="0086437B">
                  <w:pPr>
                    <w:pStyle w:val="Paragraphedeliste"/>
                    <w:spacing w:after="120"/>
                    <w:ind w:left="1134" w:right="1337"/>
                    <w:contextualSpacing w:val="0"/>
                    <w:rPr>
                      <w:color w:val="262626" w:themeColor="text1" w:themeTint="D9"/>
                      <w:sz w:val="18"/>
                      <w:szCs w:val="18"/>
                    </w:rPr>
                  </w:pPr>
                  <w:r w:rsidRPr="00CF6BF3">
                    <w:rPr>
                      <w:color w:val="262626" w:themeColor="text1" w:themeTint="D9"/>
                      <w:sz w:val="18"/>
                      <w:szCs w:val="18"/>
                    </w:rPr>
                    <w:t>Sur un marché « traditionnel », la demande est généralement inversement corrélée au prix : une augmentation de prix décourage la consommation tandis qu’une baisse la stimule. Dans ce contexte, les offreurs, en situation de concurrence, sont incités à pratiquer des tarifs bas pour accroître leurs volumes de ventes et assurer ainsi leur survie sur le marché.</w:t>
                  </w:r>
                </w:p>
                <w:p w:rsidR="00144D6D" w:rsidRDefault="00144D6D" w:rsidP="0086437B">
                  <w:pPr>
                    <w:spacing w:after="120"/>
                    <w:ind w:left="1134" w:right="1337"/>
                    <w:rPr>
                      <w:color w:val="262626" w:themeColor="text1" w:themeTint="D9"/>
                      <w:sz w:val="18"/>
                      <w:szCs w:val="18"/>
                    </w:rPr>
                  </w:pPr>
                  <w:r w:rsidRPr="0008292A">
                    <w:rPr>
                      <w:color w:val="262626" w:themeColor="text1" w:themeTint="D9"/>
                      <w:sz w:val="18"/>
                      <w:szCs w:val="18"/>
                    </w:rPr>
                    <w:t>Ce schéma théorique ne s’applique pas au secteur de la santé. En effet, les ménages ne supportent direc</w:t>
                  </w:r>
                  <w:r>
                    <w:rPr>
                      <w:color w:val="262626" w:themeColor="text1" w:themeTint="D9"/>
                      <w:sz w:val="18"/>
                      <w:szCs w:val="18"/>
                    </w:rPr>
                    <w:t>tement qu’une part modeste de leur</w:t>
                  </w:r>
                  <w:r w:rsidRPr="0008292A">
                    <w:rPr>
                      <w:color w:val="262626" w:themeColor="text1" w:themeTint="D9"/>
                      <w:sz w:val="18"/>
                      <w:szCs w:val="18"/>
                    </w:rPr>
                    <w:t xml:space="preserve"> dépense de soins (9,6% de la CSBM en 2011</w:t>
                  </w:r>
                  <w:r>
                    <w:rPr>
                      <w:color w:val="262626" w:themeColor="text1" w:themeTint="D9"/>
                      <w:sz w:val="18"/>
                      <w:szCs w:val="18"/>
                    </w:rPr>
                    <w:t xml:space="preserve"> pour la France</w:t>
                  </w:r>
                  <w:r w:rsidRPr="0008292A">
                    <w:rPr>
                      <w:color w:val="262626" w:themeColor="text1" w:themeTint="D9"/>
                      <w:sz w:val="18"/>
                      <w:szCs w:val="18"/>
                    </w:rPr>
                    <w:t xml:space="preserve">) ; l’essentiel du financement étant pris en charge par la solidarité nationale et les assurances privées. Les offreurs de soins, confrontés à une demande forte et rendue solvable par les assurances, sont donc incités à pratiquer des tarifs élevés lorsque ceux-ci ne sont pas régulés de manière exogène. </w:t>
                  </w:r>
                </w:p>
                <w:p w:rsidR="00144D6D" w:rsidRDefault="00144D6D" w:rsidP="00D3332D">
                  <w:pPr>
                    <w:spacing w:after="240"/>
                    <w:ind w:left="1134" w:right="1338"/>
                    <w:rPr>
                      <w:color w:val="262626" w:themeColor="text1" w:themeTint="D9"/>
                      <w:sz w:val="18"/>
                      <w:szCs w:val="18"/>
                    </w:rPr>
                  </w:pPr>
                  <w:r>
                    <w:rPr>
                      <w:color w:val="262626" w:themeColor="text1" w:themeTint="D9"/>
                      <w:sz w:val="18"/>
                      <w:szCs w:val="18"/>
                    </w:rPr>
                    <w:t xml:space="preserve">Au sein des pays de l’OCDE, on observe d’ailleurs que moins les ménages supportent directement le coût de la santé, plus les dépenses courantes de </w:t>
                  </w:r>
                  <w:proofErr w:type="gramStart"/>
                  <w:r>
                    <w:rPr>
                      <w:color w:val="262626" w:themeColor="text1" w:themeTint="D9"/>
                      <w:sz w:val="18"/>
                      <w:szCs w:val="18"/>
                    </w:rPr>
                    <w:t>santé sont</w:t>
                  </w:r>
                  <w:proofErr w:type="gramEnd"/>
                  <w:r>
                    <w:rPr>
                      <w:color w:val="262626" w:themeColor="text1" w:themeTint="D9"/>
                      <w:sz w:val="18"/>
                      <w:szCs w:val="18"/>
                    </w:rPr>
                    <w:t xml:space="preserve"> importantes.</w:t>
                  </w:r>
                </w:p>
                <w:p w:rsidR="00144D6D" w:rsidRDefault="00144D6D" w:rsidP="0086437B">
                  <w:pPr>
                    <w:tabs>
                      <w:tab w:val="left" w:pos="4111"/>
                    </w:tabs>
                    <w:spacing w:after="0" w:line="264" w:lineRule="auto"/>
                    <w:ind w:left="2977" w:right="1338"/>
                    <w:jc w:val="left"/>
                    <w:rPr>
                      <w:b/>
                      <w:color w:val="404040" w:themeColor="text1" w:themeTint="BF"/>
                      <w:sz w:val="18"/>
                      <w:szCs w:val="18"/>
                    </w:rPr>
                  </w:pPr>
                  <w:r w:rsidRPr="0086437B">
                    <w:rPr>
                      <w:color w:val="7A003C"/>
                      <w:sz w:val="18"/>
                      <w:szCs w:val="18"/>
                    </w:rPr>
                    <w:t>Graph 15</w:t>
                  </w:r>
                  <w:r>
                    <w:rPr>
                      <w:color w:val="7A003C"/>
                      <w:sz w:val="18"/>
                      <w:szCs w:val="18"/>
                    </w:rPr>
                    <w:t>.</w:t>
                  </w:r>
                  <w:r>
                    <w:rPr>
                      <w:color w:val="7A003C"/>
                      <w:sz w:val="18"/>
                      <w:szCs w:val="18"/>
                    </w:rPr>
                    <w:tab/>
                  </w:r>
                  <w:r w:rsidRPr="0086437B">
                    <w:rPr>
                      <w:b/>
                      <w:color w:val="404040" w:themeColor="text1" w:themeTint="BF"/>
                      <w:sz w:val="18"/>
                      <w:szCs w:val="18"/>
                    </w:rPr>
                    <w:t>Versement</w:t>
                  </w:r>
                  <w:r>
                    <w:rPr>
                      <w:b/>
                      <w:color w:val="404040" w:themeColor="text1" w:themeTint="BF"/>
                      <w:sz w:val="18"/>
                      <w:szCs w:val="18"/>
                    </w:rPr>
                    <w:t>s</w:t>
                  </w:r>
                  <w:r w:rsidRPr="0086437B">
                    <w:rPr>
                      <w:b/>
                      <w:color w:val="404040" w:themeColor="text1" w:themeTint="BF"/>
                      <w:sz w:val="18"/>
                      <w:szCs w:val="18"/>
                    </w:rPr>
                    <w:t xml:space="preserve"> des ménages et dépense</w:t>
                  </w:r>
                  <w:r>
                    <w:rPr>
                      <w:b/>
                      <w:color w:val="404040" w:themeColor="text1" w:themeTint="BF"/>
                      <w:sz w:val="18"/>
                      <w:szCs w:val="18"/>
                    </w:rPr>
                    <w:t>s</w:t>
                  </w:r>
                  <w:r w:rsidRPr="0086437B">
                    <w:rPr>
                      <w:b/>
                      <w:color w:val="404040" w:themeColor="text1" w:themeTint="BF"/>
                      <w:sz w:val="18"/>
                      <w:szCs w:val="18"/>
                    </w:rPr>
                    <w:t xml:space="preserve"> courante</w:t>
                  </w:r>
                  <w:r>
                    <w:rPr>
                      <w:b/>
                      <w:color w:val="404040" w:themeColor="text1" w:themeTint="BF"/>
                      <w:sz w:val="18"/>
                      <w:szCs w:val="18"/>
                    </w:rPr>
                    <w:t>s</w:t>
                  </w:r>
                  <w:r w:rsidRPr="0086437B">
                    <w:rPr>
                      <w:b/>
                      <w:color w:val="404040" w:themeColor="text1" w:themeTint="BF"/>
                      <w:sz w:val="18"/>
                      <w:szCs w:val="18"/>
                    </w:rPr>
                    <w:t xml:space="preserve"> de santé</w:t>
                  </w:r>
                </w:p>
                <w:p w:rsidR="00144D6D" w:rsidRPr="002A79B8" w:rsidRDefault="00144D6D" w:rsidP="00B44753">
                  <w:pPr>
                    <w:tabs>
                      <w:tab w:val="left" w:pos="4111"/>
                    </w:tabs>
                    <w:spacing w:after="120" w:line="264" w:lineRule="auto"/>
                    <w:ind w:left="2977" w:right="1338"/>
                    <w:jc w:val="left"/>
                    <w:rPr>
                      <w:i/>
                      <w:color w:val="7A003C"/>
                      <w:sz w:val="18"/>
                      <w:szCs w:val="18"/>
                    </w:rPr>
                  </w:pPr>
                  <w:r>
                    <w:rPr>
                      <w:b/>
                      <w:color w:val="404040" w:themeColor="text1" w:themeTint="BF"/>
                      <w:sz w:val="18"/>
                      <w:szCs w:val="18"/>
                    </w:rPr>
                    <w:tab/>
                  </w:r>
                  <w:r w:rsidRPr="0086437B">
                    <w:rPr>
                      <w:i/>
                      <w:color w:val="404040" w:themeColor="text1" w:themeTint="BF"/>
                      <w:sz w:val="18"/>
                      <w:szCs w:val="18"/>
                    </w:rPr>
                    <w:t>En 2009 (ou année la plus proche)</w:t>
                  </w:r>
                  <w:r>
                    <w:rPr>
                      <w:i/>
                      <w:color w:val="404040" w:themeColor="text1" w:themeTint="BF"/>
                      <w:sz w:val="18"/>
                      <w:szCs w:val="18"/>
                    </w:rPr>
                    <w:t xml:space="preserve"> / chaque point représente un pays de l’OCDE </w:t>
                  </w:r>
                </w:p>
                <w:p w:rsidR="00144D6D" w:rsidRDefault="00144D6D" w:rsidP="00B44753">
                  <w:pPr>
                    <w:spacing w:after="0"/>
                    <w:ind w:left="1560" w:right="1337"/>
                    <w:jc w:val="center"/>
                    <w:rPr>
                      <w:color w:val="262626" w:themeColor="text1" w:themeTint="D9"/>
                      <w:sz w:val="18"/>
                      <w:szCs w:val="18"/>
                    </w:rPr>
                  </w:pPr>
                  <w:r w:rsidRPr="002A79B8">
                    <w:rPr>
                      <w:noProof/>
                      <w:color w:val="262626" w:themeColor="text1" w:themeTint="D9"/>
                      <w:sz w:val="18"/>
                      <w:szCs w:val="18"/>
                      <w:lang w:eastAsia="fr-FR"/>
                    </w:rPr>
                    <w:drawing>
                      <wp:inline distT="0" distB="0" distL="0" distR="0">
                        <wp:extent cx="3581400" cy="2381250"/>
                        <wp:effectExtent l="0" t="0" r="0" b="0"/>
                        <wp:docPr id="43"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44D6D" w:rsidRPr="0008292A" w:rsidRDefault="00144D6D" w:rsidP="00B44753">
                  <w:pPr>
                    <w:spacing w:after="240"/>
                    <w:ind w:left="2977" w:right="1338"/>
                    <w:rPr>
                      <w:color w:val="262626" w:themeColor="text1" w:themeTint="D9"/>
                      <w:sz w:val="18"/>
                      <w:szCs w:val="18"/>
                    </w:rPr>
                  </w:pPr>
                  <w:r>
                    <w:rPr>
                      <w:color w:val="262626" w:themeColor="text1" w:themeTint="D9"/>
                      <w:sz w:val="18"/>
                      <w:szCs w:val="18"/>
                    </w:rPr>
                    <w:t>Source : OCDE (Panorama de la santé 2011)</w:t>
                  </w:r>
                </w:p>
                <w:p w:rsidR="00144D6D" w:rsidRPr="009177EC" w:rsidRDefault="00144D6D" w:rsidP="00C020D6">
                  <w:pPr>
                    <w:pStyle w:val="Paragraphedeliste"/>
                    <w:numPr>
                      <w:ilvl w:val="0"/>
                      <w:numId w:val="2"/>
                    </w:numPr>
                    <w:ind w:left="1134" w:right="1337" w:hanging="284"/>
                    <w:rPr>
                      <w:b/>
                      <w:color w:val="7A003C"/>
                      <w:sz w:val="18"/>
                      <w:szCs w:val="18"/>
                    </w:rPr>
                  </w:pPr>
                  <w:r>
                    <w:rPr>
                      <w:b/>
                      <w:color w:val="7A003C"/>
                      <w:sz w:val="18"/>
                      <w:szCs w:val="18"/>
                    </w:rPr>
                    <w:t>… l</w:t>
                  </w:r>
                  <w:r w:rsidRPr="009177EC">
                    <w:rPr>
                      <w:b/>
                      <w:color w:val="7A003C"/>
                      <w:sz w:val="18"/>
                      <w:szCs w:val="18"/>
                    </w:rPr>
                    <w:t xml:space="preserve">es patients sont en situation d’asymétrie d’information </w:t>
                  </w:r>
                </w:p>
                <w:p w:rsidR="00144D6D" w:rsidRPr="0008292A" w:rsidRDefault="00144D6D" w:rsidP="00CF6BF3">
                  <w:pPr>
                    <w:spacing w:after="120"/>
                    <w:ind w:left="1134" w:right="1338"/>
                    <w:rPr>
                      <w:color w:val="262626" w:themeColor="text1" w:themeTint="D9"/>
                      <w:sz w:val="18"/>
                      <w:szCs w:val="18"/>
                    </w:rPr>
                  </w:pPr>
                  <w:r w:rsidRPr="0008292A">
                    <w:rPr>
                      <w:color w:val="262626" w:themeColor="text1" w:themeTint="D9"/>
                      <w:sz w:val="18"/>
                      <w:szCs w:val="18"/>
                    </w:rPr>
                    <w:t xml:space="preserve">Les patients sont démunis pour faire fonctionner efficacement la concurrence. </w:t>
                  </w:r>
                  <w:r>
                    <w:rPr>
                      <w:color w:val="262626" w:themeColor="text1" w:themeTint="D9"/>
                      <w:sz w:val="18"/>
                      <w:szCs w:val="18"/>
                    </w:rPr>
                    <w:t>I</w:t>
                  </w:r>
                  <w:r w:rsidRPr="0008292A">
                    <w:rPr>
                      <w:color w:val="262626" w:themeColor="text1" w:themeTint="D9"/>
                      <w:sz w:val="18"/>
                      <w:szCs w:val="18"/>
                    </w:rPr>
                    <w:t xml:space="preserve">l est </w:t>
                  </w:r>
                  <w:r>
                    <w:rPr>
                      <w:color w:val="262626" w:themeColor="text1" w:themeTint="D9"/>
                      <w:sz w:val="18"/>
                      <w:szCs w:val="18"/>
                    </w:rPr>
                    <w:t xml:space="preserve">en effet </w:t>
                  </w:r>
                  <w:r w:rsidRPr="0008292A">
                    <w:rPr>
                      <w:color w:val="262626" w:themeColor="text1" w:themeTint="D9"/>
                      <w:sz w:val="18"/>
                      <w:szCs w:val="18"/>
                    </w:rPr>
                    <w:t>complexe pour eux d’apprécier le rapport qualité-prix d’une prestation de soins compte tenu des limites de leurs savoirs médicaux. En situation d’asymétrie d’information, les patients peuvent, à tort, sélectionner les médecins aux tarifs les plus élevés en supposant que leur prise en charge médicale sera nécessairement de meilleure qualité.</w:t>
                  </w:r>
                </w:p>
                <w:p w:rsidR="00144D6D" w:rsidRDefault="00144D6D" w:rsidP="00B44753">
                  <w:pPr>
                    <w:spacing w:after="120"/>
                    <w:ind w:left="1134" w:right="1338"/>
                    <w:rPr>
                      <w:color w:val="262626" w:themeColor="text1" w:themeTint="D9"/>
                      <w:sz w:val="18"/>
                      <w:szCs w:val="18"/>
                    </w:rPr>
                  </w:pPr>
                  <w:r w:rsidRPr="0008292A">
                    <w:rPr>
                      <w:color w:val="262626" w:themeColor="text1" w:themeTint="D9"/>
                      <w:sz w:val="18"/>
                      <w:szCs w:val="18"/>
                    </w:rPr>
                    <w:t>L’avantage informationnel des professionnels de santé peut en outre provoquer une demand</w:t>
                  </w:r>
                  <w:r>
                    <w:rPr>
                      <w:color w:val="262626" w:themeColor="text1" w:themeTint="D9"/>
                      <w:sz w:val="18"/>
                      <w:szCs w:val="18"/>
                    </w:rPr>
                    <w:t xml:space="preserve">e induite. Celle-ci résulte de </w:t>
                  </w:r>
                  <w:r w:rsidRPr="0008292A">
                    <w:rPr>
                      <w:color w:val="262626" w:themeColor="text1" w:themeTint="D9"/>
                      <w:sz w:val="18"/>
                      <w:szCs w:val="18"/>
                    </w:rPr>
                    <w:t>la capacité des offreurs de soins à déterminer une quantité ou une qualité de traitement différente de celle que choisiraient les patients si ceux-ci disposaient des</w:t>
                  </w:r>
                  <w:r>
                    <w:rPr>
                      <w:color w:val="262626" w:themeColor="text1" w:themeTint="D9"/>
                      <w:sz w:val="18"/>
                      <w:szCs w:val="18"/>
                    </w:rPr>
                    <w:t xml:space="preserve"> mêmes connaissances médicales.</w:t>
                  </w:r>
                </w:p>
                <w:p w:rsidR="00144D6D" w:rsidRDefault="00144D6D" w:rsidP="00B44753">
                  <w:pPr>
                    <w:spacing w:after="120"/>
                    <w:ind w:left="1134" w:right="1338"/>
                    <w:rPr>
                      <w:color w:val="262626" w:themeColor="text1" w:themeTint="D9"/>
                      <w:sz w:val="18"/>
                      <w:szCs w:val="18"/>
                    </w:rPr>
                  </w:pPr>
                </w:p>
                <w:p w:rsidR="00144D6D" w:rsidRPr="0008292A" w:rsidRDefault="00144D6D" w:rsidP="00CF6BF3">
                  <w:pPr>
                    <w:ind w:left="851" w:right="1337"/>
                    <w:rPr>
                      <w:color w:val="262626" w:themeColor="text1" w:themeTint="D9"/>
                      <w:sz w:val="18"/>
                      <w:szCs w:val="18"/>
                    </w:rPr>
                  </w:pPr>
                  <w:r w:rsidRPr="0008292A">
                    <w:rPr>
                      <w:color w:val="262626" w:themeColor="text1" w:themeTint="D9"/>
                      <w:sz w:val="18"/>
                      <w:szCs w:val="18"/>
                    </w:rPr>
                    <w:t>Pour ces raisons, l’</w:t>
                  </w:r>
                  <w:r>
                    <w:rPr>
                      <w:color w:val="262626" w:themeColor="text1" w:themeTint="D9"/>
                      <w:sz w:val="18"/>
                      <w:szCs w:val="18"/>
                    </w:rPr>
                    <w:t>Assurance maladie</w:t>
                  </w:r>
                  <w:r w:rsidRPr="0008292A">
                    <w:rPr>
                      <w:color w:val="262626" w:themeColor="text1" w:themeTint="D9"/>
                      <w:sz w:val="18"/>
                      <w:szCs w:val="18"/>
                    </w:rPr>
                    <w:t xml:space="preserve"> régule les prix de certains services </w:t>
                  </w:r>
                  <w:r>
                    <w:rPr>
                      <w:color w:val="262626" w:themeColor="text1" w:themeTint="D9"/>
                      <w:sz w:val="18"/>
                      <w:szCs w:val="18"/>
                    </w:rPr>
                    <w:t>médicaux et impose des normes. Pour améliorer cette régulation, d</w:t>
                  </w:r>
                  <w:r w:rsidRPr="0008292A">
                    <w:rPr>
                      <w:color w:val="262626" w:themeColor="text1" w:themeTint="D9"/>
                      <w:sz w:val="18"/>
                      <w:szCs w:val="18"/>
                    </w:rPr>
                    <w:t>es mécanismes non publics pe</w:t>
                  </w:r>
                  <w:r>
                    <w:rPr>
                      <w:color w:val="262626" w:themeColor="text1" w:themeTint="D9"/>
                      <w:sz w:val="18"/>
                      <w:szCs w:val="18"/>
                    </w:rPr>
                    <w:t>uvent également être développés.</w:t>
                  </w:r>
                </w:p>
                <w:p w:rsidR="00144D6D" w:rsidRPr="0097189A" w:rsidRDefault="00144D6D" w:rsidP="002D5CA9">
                  <w:pPr>
                    <w:tabs>
                      <w:tab w:val="left" w:pos="3261"/>
                      <w:tab w:val="left" w:pos="6237"/>
                    </w:tabs>
                    <w:spacing w:after="0" w:line="288" w:lineRule="auto"/>
                    <w:ind w:left="992" w:right="1792"/>
                    <w:jc w:val="left"/>
                    <w:rPr>
                      <w:color w:val="262626" w:themeColor="text1" w:themeTint="D9"/>
                      <w:sz w:val="18"/>
                      <w:szCs w:val="18"/>
                    </w:rPr>
                  </w:pPr>
                </w:p>
              </w:txbxContent>
            </v:textbox>
          </v:rect>
        </w:pict>
      </w:r>
    </w:p>
    <w:p w:rsidR="0086437B" w:rsidRDefault="0086437B" w:rsidP="002D5CA9">
      <w:pPr>
        <w:pStyle w:val="Textedebase"/>
        <w:ind w:left="0"/>
        <w:jc w:val="left"/>
        <w:rPr>
          <w:b/>
        </w:rPr>
      </w:pPr>
    </w:p>
    <w:p w:rsidR="0086437B" w:rsidRDefault="0086437B" w:rsidP="002D5CA9">
      <w:pPr>
        <w:pStyle w:val="Textedebase"/>
        <w:ind w:left="0"/>
        <w:jc w:val="left"/>
        <w:rPr>
          <w:b/>
        </w:rPr>
      </w:pPr>
    </w:p>
    <w:p w:rsidR="0086437B" w:rsidRDefault="0086437B" w:rsidP="002D5CA9">
      <w:pPr>
        <w:pStyle w:val="Textedebase"/>
        <w:ind w:left="0"/>
        <w:jc w:val="left"/>
        <w:rPr>
          <w:b/>
        </w:rPr>
      </w:pPr>
    </w:p>
    <w:p w:rsidR="0086437B" w:rsidRDefault="0086437B" w:rsidP="002D5CA9">
      <w:pPr>
        <w:pStyle w:val="Textedebase"/>
        <w:ind w:left="0"/>
        <w:jc w:val="left"/>
        <w:rPr>
          <w:b/>
        </w:rPr>
      </w:pPr>
    </w:p>
    <w:p w:rsidR="0086437B" w:rsidRPr="0008292A" w:rsidRDefault="0086437B" w:rsidP="002D5CA9">
      <w:pPr>
        <w:pStyle w:val="Textedebase"/>
        <w:ind w:left="0"/>
        <w:jc w:val="left"/>
      </w:pPr>
    </w:p>
    <w:p w:rsidR="002D5CA9" w:rsidRDefault="002D5CA9" w:rsidP="00121302"/>
    <w:p w:rsidR="0086437B" w:rsidRDefault="0086437B" w:rsidP="00121302"/>
    <w:p w:rsidR="0086437B" w:rsidRDefault="0086437B" w:rsidP="00121302"/>
    <w:p w:rsidR="0086437B" w:rsidRDefault="0086437B" w:rsidP="00121302">
      <w:pPr>
        <w:sectPr w:rsidR="0086437B" w:rsidSect="002D5CA9">
          <w:type w:val="continuous"/>
          <w:pgSz w:w="11906" w:h="16838"/>
          <w:pgMar w:top="1928" w:right="1418" w:bottom="1135" w:left="993" w:header="709" w:footer="709" w:gutter="0"/>
          <w:cols w:num="2" w:space="711"/>
          <w:docGrid w:linePitch="360"/>
        </w:sectPr>
      </w:pPr>
    </w:p>
    <w:p w:rsidR="0086437B" w:rsidRDefault="0086437B" w:rsidP="00B973A5">
      <w:pPr>
        <w:pStyle w:val="Textedebase"/>
        <w:ind w:left="0"/>
        <w:sectPr w:rsidR="0086437B" w:rsidSect="00415E08">
          <w:type w:val="continuous"/>
          <w:pgSz w:w="11906" w:h="16838"/>
          <w:pgMar w:top="1928" w:right="1418" w:bottom="1135" w:left="993" w:header="709" w:footer="709" w:gutter="0"/>
          <w:cols w:space="708"/>
          <w:docGrid w:linePitch="360"/>
        </w:sectPr>
      </w:pPr>
    </w:p>
    <w:p w:rsidR="009863CF" w:rsidRDefault="009863CF" w:rsidP="00B973A5">
      <w:pPr>
        <w:pStyle w:val="Textedebase"/>
        <w:ind w:left="0"/>
      </w:pPr>
    </w:p>
    <w:p w:rsidR="009863CF" w:rsidRDefault="009863CF" w:rsidP="00B973A5">
      <w:pPr>
        <w:pStyle w:val="Textedebase"/>
        <w:ind w:left="0"/>
        <w:sectPr w:rsidR="009863CF" w:rsidSect="009177EC">
          <w:type w:val="continuous"/>
          <w:pgSz w:w="11906" w:h="16838"/>
          <w:pgMar w:top="1928" w:right="1418" w:bottom="1135" w:left="993" w:header="709" w:footer="709" w:gutter="0"/>
          <w:cols w:num="2" w:space="708"/>
          <w:docGrid w:linePitch="360"/>
        </w:sectPr>
      </w:pPr>
    </w:p>
    <w:p w:rsidR="00BF1527" w:rsidRDefault="00BF1527" w:rsidP="00B973A5">
      <w:pPr>
        <w:pStyle w:val="Textedebase"/>
        <w:ind w:left="0"/>
      </w:pPr>
    </w:p>
    <w:p w:rsidR="001A055D" w:rsidRDefault="001A055D" w:rsidP="001A055D">
      <w:pPr>
        <w:pStyle w:val="Textedebase"/>
      </w:pPr>
    </w:p>
    <w:p w:rsidR="001A055D" w:rsidRDefault="001A055D" w:rsidP="001A055D">
      <w:pPr>
        <w:pStyle w:val="Textedebase"/>
      </w:pPr>
    </w:p>
    <w:p w:rsidR="001A055D" w:rsidRDefault="001A055D" w:rsidP="001A055D">
      <w:pPr>
        <w:pStyle w:val="Textedebase"/>
      </w:pPr>
    </w:p>
    <w:p w:rsidR="00DB4EBD" w:rsidRDefault="00DB4EBD" w:rsidP="001A055D">
      <w:pPr>
        <w:pStyle w:val="Textedebase"/>
      </w:pPr>
    </w:p>
    <w:p w:rsidR="00DB4EBD" w:rsidRDefault="00DB4EBD" w:rsidP="001A055D">
      <w:pPr>
        <w:pStyle w:val="Textedebase"/>
      </w:pPr>
    </w:p>
    <w:p w:rsidR="00DB4EBD" w:rsidRDefault="00DB4EBD" w:rsidP="001A055D">
      <w:pPr>
        <w:pStyle w:val="Textedebase"/>
      </w:pPr>
    </w:p>
    <w:p w:rsidR="00DB4EBD" w:rsidRDefault="00DB4EBD" w:rsidP="001A055D">
      <w:pPr>
        <w:pStyle w:val="Textedebase"/>
      </w:pPr>
    </w:p>
    <w:p w:rsidR="00DB4EBD" w:rsidRDefault="00DB4EBD" w:rsidP="001A055D">
      <w:pPr>
        <w:pStyle w:val="Textedebase"/>
      </w:pPr>
    </w:p>
    <w:p w:rsidR="00DB4EBD" w:rsidRDefault="00DB4EBD" w:rsidP="001A055D">
      <w:pPr>
        <w:pStyle w:val="Textedebase"/>
      </w:pPr>
    </w:p>
    <w:p w:rsidR="00DB4EBD" w:rsidRDefault="00DB4EBD" w:rsidP="001A055D">
      <w:pPr>
        <w:pStyle w:val="Textedebase"/>
      </w:pPr>
    </w:p>
    <w:p w:rsidR="00DB4EBD" w:rsidRDefault="00DB4EBD" w:rsidP="001A055D">
      <w:pPr>
        <w:pStyle w:val="Textedebase"/>
      </w:pPr>
    </w:p>
    <w:p w:rsidR="00DB4EBD" w:rsidRDefault="00DB4EBD" w:rsidP="001A055D">
      <w:pPr>
        <w:pStyle w:val="Textedebase"/>
      </w:pPr>
    </w:p>
    <w:p w:rsidR="00DB4EBD" w:rsidRDefault="00DB4EBD" w:rsidP="001A055D">
      <w:pPr>
        <w:pStyle w:val="Textedebase"/>
      </w:pPr>
    </w:p>
    <w:p w:rsidR="0086437B" w:rsidRDefault="0086437B" w:rsidP="001A055D">
      <w:pPr>
        <w:pStyle w:val="Textedebase"/>
      </w:pPr>
    </w:p>
    <w:p w:rsidR="0086437B" w:rsidRDefault="0086437B" w:rsidP="001A055D">
      <w:pPr>
        <w:pStyle w:val="Textedebase"/>
      </w:pPr>
    </w:p>
    <w:p w:rsidR="0086437B" w:rsidRDefault="0086437B" w:rsidP="001A055D">
      <w:pPr>
        <w:pStyle w:val="Textedebase"/>
      </w:pPr>
    </w:p>
    <w:p w:rsidR="0086437B" w:rsidRDefault="0086437B" w:rsidP="001A055D">
      <w:pPr>
        <w:pStyle w:val="Textedebase"/>
      </w:pPr>
    </w:p>
    <w:p w:rsidR="0086437B" w:rsidRDefault="0086437B" w:rsidP="001A055D">
      <w:pPr>
        <w:pStyle w:val="Textedebase"/>
      </w:pPr>
    </w:p>
    <w:p w:rsidR="0086437B" w:rsidRDefault="0086437B" w:rsidP="001A055D">
      <w:pPr>
        <w:pStyle w:val="Textedebase"/>
      </w:pPr>
    </w:p>
    <w:p w:rsidR="0086437B" w:rsidRDefault="0086437B" w:rsidP="001A055D">
      <w:pPr>
        <w:pStyle w:val="Textedebase"/>
      </w:pPr>
    </w:p>
    <w:p w:rsidR="0086437B" w:rsidRDefault="0086437B" w:rsidP="001A055D">
      <w:pPr>
        <w:pStyle w:val="Textedebase"/>
      </w:pPr>
    </w:p>
    <w:p w:rsidR="00DB4EBD" w:rsidRDefault="00F86138" w:rsidP="001A055D">
      <w:pPr>
        <w:pStyle w:val="Textedebase"/>
      </w:pPr>
      <w:r>
        <w:rPr>
          <w:noProof/>
          <w:lang w:eastAsia="fr-FR"/>
        </w:rPr>
        <w:lastRenderedPageBreak/>
        <w:pict>
          <v:rect id="_x0000_s1072" style="position:absolute;left:0;text-align:left;margin-left:-51.15pt;margin-top:2.6pt;width:600pt;height:100.5pt;z-index:251720704;v-text-anchor:middle" fillcolor="#f2f2f2 [3052]" strokecolor="#272727 [2749]" strokeweight="1pt">
            <v:stroke dashstyle="1 1" endcap="round"/>
            <v:textbox style="mso-next-textbox:#_x0000_s1072">
              <w:txbxContent>
                <w:p w:rsidR="00144D6D" w:rsidRDefault="00144D6D" w:rsidP="009863CF">
                  <w:pPr>
                    <w:tabs>
                      <w:tab w:val="left" w:pos="3261"/>
                      <w:tab w:val="left" w:pos="6237"/>
                    </w:tabs>
                    <w:spacing w:after="120" w:line="240" w:lineRule="auto"/>
                    <w:ind w:left="1418"/>
                    <w:rPr>
                      <w:b/>
                      <w:color w:val="262626" w:themeColor="text1" w:themeTint="D9"/>
                      <w:sz w:val="18"/>
                      <w:szCs w:val="18"/>
                    </w:rPr>
                  </w:pPr>
                  <w:r>
                    <w:rPr>
                      <w:b/>
                      <w:color w:val="262626" w:themeColor="text1" w:themeTint="D9"/>
                      <w:sz w:val="18"/>
                      <w:szCs w:val="18"/>
                    </w:rPr>
                    <w:t>Partie 3</w:t>
                  </w:r>
                </w:p>
                <w:p w:rsidR="00144D6D" w:rsidRPr="00987897" w:rsidRDefault="00144D6D" w:rsidP="009863CF">
                  <w:pPr>
                    <w:tabs>
                      <w:tab w:val="left" w:pos="3261"/>
                      <w:tab w:val="left" w:pos="6237"/>
                    </w:tabs>
                    <w:spacing w:after="120" w:line="240" w:lineRule="auto"/>
                    <w:ind w:left="1418" w:right="1889"/>
                    <w:jc w:val="left"/>
                    <w:rPr>
                      <w:color w:val="7A003C"/>
                      <w:sz w:val="52"/>
                      <w:szCs w:val="52"/>
                    </w:rPr>
                  </w:pPr>
                  <w:r>
                    <w:rPr>
                      <w:b/>
                      <w:color w:val="7A003C"/>
                      <w:sz w:val="52"/>
                      <w:szCs w:val="52"/>
                    </w:rPr>
                    <w:t>Réseaux conventionnés : un moyen efficace de régulation</w:t>
                  </w:r>
                </w:p>
              </w:txbxContent>
            </v:textbox>
          </v:rect>
        </w:pict>
      </w:r>
    </w:p>
    <w:p w:rsidR="00DB4EBD" w:rsidRDefault="00DB4EBD" w:rsidP="001A055D">
      <w:pPr>
        <w:pStyle w:val="Textedebase"/>
      </w:pPr>
    </w:p>
    <w:p w:rsidR="00DB4EBD" w:rsidRDefault="00DB4EBD" w:rsidP="001A055D">
      <w:pPr>
        <w:pStyle w:val="Textedebase"/>
      </w:pPr>
    </w:p>
    <w:p w:rsidR="00DB4EBD" w:rsidRDefault="00DB4EBD" w:rsidP="001A055D">
      <w:pPr>
        <w:pStyle w:val="Textedebase"/>
      </w:pPr>
    </w:p>
    <w:p w:rsidR="00DB4EBD" w:rsidRDefault="00DB4EBD" w:rsidP="001A055D">
      <w:pPr>
        <w:pStyle w:val="Textedebase"/>
      </w:pPr>
    </w:p>
    <w:p w:rsidR="00DB4EBD" w:rsidRDefault="00DB4EBD" w:rsidP="00DB4EBD">
      <w:pPr>
        <w:spacing w:after="0" w:line="240" w:lineRule="auto"/>
        <w:rPr>
          <w:sz w:val="18"/>
          <w:szCs w:val="18"/>
        </w:rPr>
      </w:pPr>
    </w:p>
    <w:p w:rsidR="00DB4EBD" w:rsidRPr="0008292A" w:rsidRDefault="00DB4EBD" w:rsidP="005468C0">
      <w:pPr>
        <w:pStyle w:val="Textedebase"/>
        <w:ind w:left="0" w:right="281"/>
        <w:jc w:val="left"/>
      </w:pPr>
      <w:r w:rsidRPr="0008292A">
        <w:t>Les OCAM sont naturellement venues prendre le relais du financement là où l’assurance publique obligatoire a reculé. Ils jouent désormais un rôle essentiel dans les secte</w:t>
      </w:r>
      <w:r w:rsidR="00A60871">
        <w:t>urs où les remboursements de l’</w:t>
      </w:r>
      <w:r w:rsidR="004759CA">
        <w:t>Assurance maladie</w:t>
      </w:r>
      <w:r w:rsidRPr="0008292A">
        <w:t xml:space="preserve"> sont faibles (optique, dentaire, audioprothèse). </w:t>
      </w:r>
    </w:p>
    <w:p w:rsidR="00DB4EBD" w:rsidRPr="0008292A" w:rsidRDefault="00DB4EBD" w:rsidP="005468C0">
      <w:pPr>
        <w:pStyle w:val="Textedebase"/>
        <w:spacing w:after="60"/>
        <w:ind w:left="0" w:right="281"/>
        <w:jc w:val="left"/>
      </w:pPr>
      <w:r w:rsidRPr="0008292A">
        <w:t>Dans ce contexte, le rôle des OCAM est appelé à se renforcer dans :</w:t>
      </w:r>
    </w:p>
    <w:p w:rsidR="00DB4EBD" w:rsidRPr="0008292A" w:rsidRDefault="00DB4EBD" w:rsidP="00C020D6">
      <w:pPr>
        <w:pStyle w:val="Textedebase"/>
        <w:numPr>
          <w:ilvl w:val="0"/>
          <w:numId w:val="13"/>
        </w:numPr>
        <w:spacing w:after="60"/>
        <w:ind w:left="709" w:right="281"/>
        <w:jc w:val="left"/>
      </w:pPr>
      <w:r w:rsidRPr="0008292A">
        <w:t>la régulation des dépenses de santé</w:t>
      </w:r>
      <w:r w:rsidR="00A60871">
        <w:t>,</w:t>
      </w:r>
      <w:r w:rsidRPr="0008292A">
        <w:t> en valeur comme en volume ;</w:t>
      </w:r>
    </w:p>
    <w:p w:rsidR="00DB4EBD" w:rsidRPr="0008292A" w:rsidRDefault="00DB4EBD" w:rsidP="00C020D6">
      <w:pPr>
        <w:pStyle w:val="Textedebase"/>
        <w:numPr>
          <w:ilvl w:val="0"/>
          <w:numId w:val="13"/>
        </w:numPr>
        <w:ind w:left="709" w:right="284" w:hanging="357"/>
        <w:jc w:val="left"/>
      </w:pPr>
      <w:r w:rsidRPr="0008292A">
        <w:t>le contrôle de la qualité des soins offerts.</w:t>
      </w:r>
    </w:p>
    <w:p w:rsidR="00DB4EBD" w:rsidRPr="0008292A" w:rsidRDefault="00DB4EBD" w:rsidP="005468C0">
      <w:pPr>
        <w:pStyle w:val="Textedebase"/>
        <w:ind w:left="0" w:right="281"/>
        <w:jc w:val="left"/>
      </w:pPr>
      <w:r w:rsidRPr="0008292A">
        <w:t>La traduction la plus visible de ce double objectif est le développement par les OCAM de « réseaux de soins intégrés ». Il s’agit de réseaux de professionnels de santé conventionnés. Ces réseaux se sont développés pour les soins dont la majeure partie du financement incombe aux complémentaires. A ce jour, sont donc concernés les opticiens-lunetiers, les chirurgiens-dentistes et les audioprothésistes.</w:t>
      </w:r>
    </w:p>
    <w:p w:rsidR="00DB4EBD" w:rsidRDefault="00DB4EBD" w:rsidP="00A60871">
      <w:pPr>
        <w:pStyle w:val="Textedebase"/>
        <w:ind w:left="0" w:right="281"/>
        <w:jc w:val="left"/>
      </w:pPr>
      <w:r w:rsidRPr="0008292A">
        <w:t xml:space="preserve">En prenant pour exemple le secteur de l’optique, la présente partie vise à exposer les avantages </w:t>
      </w:r>
      <w:r w:rsidR="00A60871">
        <w:t>de ces réseaux pour les patients, la collectivité, les assureurs et les professionnels de santé.</w:t>
      </w:r>
    </w:p>
    <w:p w:rsidR="0086437B" w:rsidRPr="00A60871" w:rsidRDefault="0086437B" w:rsidP="00A60871">
      <w:pPr>
        <w:pStyle w:val="Textedebase"/>
        <w:ind w:left="0" w:right="281"/>
        <w:jc w:val="left"/>
      </w:pPr>
    </w:p>
    <w:p w:rsidR="005468C0" w:rsidRDefault="005468C0" w:rsidP="00DB4EBD">
      <w:pPr>
        <w:spacing w:after="0" w:line="240" w:lineRule="auto"/>
        <w:rPr>
          <w:sz w:val="18"/>
          <w:szCs w:val="18"/>
        </w:rPr>
      </w:pPr>
    </w:p>
    <w:p w:rsidR="00DB4EBD" w:rsidRDefault="005468C0" w:rsidP="00B46EAB">
      <w:pPr>
        <w:pStyle w:val="Titre2"/>
        <w:keepNext w:val="0"/>
        <w:keepLines w:val="0"/>
        <w:spacing w:before="0" w:after="240" w:line="240" w:lineRule="auto"/>
        <w:ind w:left="703" w:right="3544" w:hanging="703"/>
        <w:rPr>
          <w:i/>
          <w:color w:val="17365D" w:themeColor="text2" w:themeShade="BF"/>
          <w:sz w:val="28"/>
          <w:szCs w:val="28"/>
        </w:rPr>
      </w:pPr>
      <w:r>
        <w:rPr>
          <w:rFonts w:eastAsiaTheme="minorHAnsi" w:cstheme="minorBidi"/>
          <w:bCs w:val="0"/>
          <w:color w:val="7A003C"/>
          <w:sz w:val="18"/>
          <w:szCs w:val="18"/>
        </w:rPr>
        <w:t>[3.1</w:t>
      </w:r>
      <w:r w:rsidRPr="00987897">
        <w:rPr>
          <w:rFonts w:eastAsiaTheme="minorHAnsi" w:cstheme="minorBidi"/>
          <w:bCs w:val="0"/>
          <w:color w:val="7A003C"/>
          <w:sz w:val="18"/>
          <w:szCs w:val="18"/>
        </w:rPr>
        <w:t>]</w:t>
      </w:r>
      <w:r w:rsidRPr="00987897">
        <w:rPr>
          <w:rFonts w:eastAsiaTheme="minorHAnsi" w:cstheme="minorBidi"/>
          <w:bCs w:val="0"/>
          <w:color w:val="7A003C"/>
          <w:sz w:val="18"/>
          <w:szCs w:val="18"/>
        </w:rPr>
        <w:tab/>
      </w:r>
      <w:r>
        <w:rPr>
          <w:i/>
          <w:color w:val="17365D" w:themeColor="text2" w:themeShade="BF"/>
          <w:sz w:val="28"/>
          <w:szCs w:val="28"/>
        </w:rPr>
        <w:t>Conventionnement : un moyen de réguler à la fois les prix et la qualité</w:t>
      </w:r>
    </w:p>
    <w:p w:rsidR="00E1528D" w:rsidRPr="005468C0" w:rsidRDefault="00E1528D" w:rsidP="005468C0">
      <w:pPr>
        <w:pStyle w:val="Textedebase"/>
        <w:spacing w:after="0"/>
        <w:ind w:left="0"/>
        <w:rPr>
          <w:color w:val="auto"/>
          <w:sz w:val="10"/>
          <w:szCs w:val="10"/>
        </w:rPr>
        <w:sectPr w:rsidR="00E1528D" w:rsidRPr="005468C0" w:rsidSect="00415E08">
          <w:type w:val="continuous"/>
          <w:pgSz w:w="11906" w:h="16838"/>
          <w:pgMar w:top="1928" w:right="1418" w:bottom="1135" w:left="993" w:header="709" w:footer="709" w:gutter="0"/>
          <w:cols w:space="708"/>
          <w:docGrid w:linePitch="360"/>
        </w:sectPr>
      </w:pPr>
    </w:p>
    <w:p w:rsidR="005468C0" w:rsidRPr="0008292A" w:rsidRDefault="00DB4EBD" w:rsidP="005468C0">
      <w:pPr>
        <w:pStyle w:val="Textedebase"/>
        <w:ind w:left="0"/>
        <w:jc w:val="left"/>
        <w:rPr>
          <w:szCs w:val="20"/>
        </w:rPr>
      </w:pPr>
      <w:r w:rsidRPr="0008292A">
        <w:rPr>
          <w:szCs w:val="20"/>
        </w:rPr>
        <w:lastRenderedPageBreak/>
        <w:t xml:space="preserve">Les réseaux conventionnés reposent sur des partenariats entre, d’une part, les professionnels de santé et, d’autre part, les OCAM ou des organismes d’intermédiation. </w:t>
      </w:r>
    </w:p>
    <w:p w:rsidR="00DB4EBD" w:rsidRPr="0008292A" w:rsidRDefault="00DB4EBD" w:rsidP="005468C0">
      <w:pPr>
        <w:pStyle w:val="Textedebase"/>
        <w:ind w:left="0"/>
        <w:jc w:val="left"/>
        <w:rPr>
          <w:szCs w:val="20"/>
        </w:rPr>
      </w:pPr>
      <w:r w:rsidRPr="0008292A">
        <w:rPr>
          <w:szCs w:val="20"/>
        </w:rPr>
        <w:t>Les deux parties y trouvent un intérêt, de sorte que les professionnels souhaitant intégrer les réseaux sont nombreux. En 2010, lorsque la Mutuelle générale de l’Education nationale (MGEN) a lancé un appel d’offre pour le renouvellement de son réseau,</w:t>
      </w:r>
      <w:r w:rsidR="00A60871">
        <w:rPr>
          <w:szCs w:val="20"/>
        </w:rPr>
        <w:t xml:space="preserve">  </w:t>
      </w:r>
      <w:r w:rsidRPr="0008292A">
        <w:rPr>
          <w:szCs w:val="20"/>
        </w:rPr>
        <w:t xml:space="preserve"> 6 000 opticiens</w:t>
      </w:r>
      <w:r w:rsidR="00A60871">
        <w:rPr>
          <w:szCs w:val="20"/>
        </w:rPr>
        <w:t>-lunetiers</w:t>
      </w:r>
      <w:r w:rsidRPr="0008292A">
        <w:rPr>
          <w:szCs w:val="20"/>
        </w:rPr>
        <w:t xml:space="preserve"> sur les 11 000 recensés en France ont ainsi présenté leur candidature.</w:t>
      </w:r>
    </w:p>
    <w:p w:rsidR="00DB4EBD" w:rsidRPr="0008292A" w:rsidRDefault="00DB4EBD" w:rsidP="005468C0">
      <w:pPr>
        <w:pStyle w:val="Textedebase"/>
        <w:ind w:left="0"/>
        <w:jc w:val="left"/>
        <w:rPr>
          <w:szCs w:val="20"/>
        </w:rPr>
      </w:pPr>
      <w:r w:rsidRPr="0008292A">
        <w:rPr>
          <w:szCs w:val="20"/>
        </w:rPr>
        <w:t>L’intérêt partagé de ces réseaux pour les OCAM et les professionnels repose sur une prise d’engagements réciproques.</w:t>
      </w:r>
    </w:p>
    <w:p w:rsidR="00DB4EBD" w:rsidRPr="0008292A" w:rsidRDefault="00DB4EBD" w:rsidP="00391929">
      <w:pPr>
        <w:spacing w:after="120"/>
        <w:jc w:val="left"/>
        <w:rPr>
          <w:color w:val="262626" w:themeColor="text1" w:themeTint="D9"/>
          <w:sz w:val="20"/>
          <w:szCs w:val="20"/>
        </w:rPr>
      </w:pPr>
      <w:r w:rsidRPr="0008292A">
        <w:rPr>
          <w:color w:val="262626" w:themeColor="text1" w:themeTint="D9"/>
          <w:sz w:val="20"/>
          <w:szCs w:val="20"/>
        </w:rPr>
        <w:lastRenderedPageBreak/>
        <w:t xml:space="preserve">En intégrant un réseau, les professionnels de santé s’engagent à : </w:t>
      </w:r>
    </w:p>
    <w:p w:rsidR="00DB4EBD" w:rsidRPr="0008292A" w:rsidRDefault="00DB4EBD" w:rsidP="00C020D6">
      <w:pPr>
        <w:pStyle w:val="Paragraphedeliste"/>
        <w:numPr>
          <w:ilvl w:val="0"/>
          <w:numId w:val="14"/>
        </w:numPr>
        <w:spacing w:after="120"/>
        <w:ind w:left="284" w:hanging="284"/>
        <w:contextualSpacing w:val="0"/>
        <w:jc w:val="left"/>
        <w:rPr>
          <w:color w:val="262626" w:themeColor="text1" w:themeTint="D9"/>
          <w:sz w:val="20"/>
          <w:szCs w:val="20"/>
        </w:rPr>
      </w:pPr>
      <w:r w:rsidRPr="0008292A">
        <w:rPr>
          <w:color w:val="262626" w:themeColor="text1" w:themeTint="D9"/>
          <w:sz w:val="20"/>
          <w:szCs w:val="20"/>
        </w:rPr>
        <w:t xml:space="preserve">Pratiquer des tarifs « raisonnables » (l’OCAM </w:t>
      </w:r>
      <w:r w:rsidR="00A60871">
        <w:rPr>
          <w:color w:val="262626" w:themeColor="text1" w:themeTint="D9"/>
          <w:sz w:val="20"/>
          <w:szCs w:val="20"/>
        </w:rPr>
        <w:t>fixe des prix à ne pas dépasser</w:t>
      </w:r>
      <w:r w:rsidRPr="0008292A">
        <w:rPr>
          <w:color w:val="262626" w:themeColor="text1" w:themeTint="D9"/>
          <w:sz w:val="20"/>
          <w:szCs w:val="20"/>
        </w:rPr>
        <w:t xml:space="preserve"> ou bien </w:t>
      </w:r>
      <w:r w:rsidR="00A60871">
        <w:rPr>
          <w:color w:val="262626" w:themeColor="text1" w:themeTint="D9"/>
          <w:sz w:val="20"/>
          <w:szCs w:val="20"/>
        </w:rPr>
        <w:t>valide</w:t>
      </w:r>
      <w:r w:rsidRPr="0008292A">
        <w:rPr>
          <w:color w:val="262626" w:themeColor="text1" w:themeTint="D9"/>
          <w:sz w:val="20"/>
          <w:szCs w:val="20"/>
        </w:rPr>
        <w:t xml:space="preserve"> les prix proposés par les professionnels) ;</w:t>
      </w:r>
    </w:p>
    <w:p w:rsidR="00DB4EBD" w:rsidRPr="0008292A" w:rsidRDefault="00DB4EBD" w:rsidP="00C020D6">
      <w:pPr>
        <w:pStyle w:val="Paragraphedeliste"/>
        <w:numPr>
          <w:ilvl w:val="0"/>
          <w:numId w:val="14"/>
        </w:numPr>
        <w:spacing w:after="120"/>
        <w:ind w:left="284" w:hanging="284"/>
        <w:contextualSpacing w:val="0"/>
        <w:jc w:val="left"/>
        <w:rPr>
          <w:color w:val="262626" w:themeColor="text1" w:themeTint="D9"/>
          <w:sz w:val="20"/>
          <w:szCs w:val="20"/>
        </w:rPr>
      </w:pPr>
      <w:r w:rsidRPr="0008292A">
        <w:rPr>
          <w:color w:val="262626" w:themeColor="text1" w:themeTint="D9"/>
          <w:sz w:val="20"/>
          <w:szCs w:val="20"/>
        </w:rPr>
        <w:t>Mettre en place le tiers-payant ;</w:t>
      </w:r>
    </w:p>
    <w:p w:rsidR="00DB4EBD" w:rsidRPr="0008292A" w:rsidRDefault="00DB4EBD" w:rsidP="00C020D6">
      <w:pPr>
        <w:pStyle w:val="Paragraphedeliste"/>
        <w:numPr>
          <w:ilvl w:val="0"/>
          <w:numId w:val="14"/>
        </w:numPr>
        <w:spacing w:after="120"/>
        <w:ind w:left="284" w:hanging="284"/>
        <w:contextualSpacing w:val="0"/>
        <w:jc w:val="left"/>
        <w:rPr>
          <w:color w:val="262626" w:themeColor="text1" w:themeTint="D9"/>
          <w:sz w:val="20"/>
          <w:szCs w:val="20"/>
        </w:rPr>
      </w:pPr>
      <w:r w:rsidRPr="0008292A">
        <w:rPr>
          <w:color w:val="262626" w:themeColor="text1" w:themeTint="D9"/>
          <w:sz w:val="20"/>
          <w:szCs w:val="20"/>
        </w:rPr>
        <w:t>Respecter des normes de qualité (gamm</w:t>
      </w:r>
      <w:r w:rsidR="0031703E" w:rsidRPr="0008292A">
        <w:rPr>
          <w:color w:val="262626" w:themeColor="text1" w:themeTint="D9"/>
          <w:sz w:val="20"/>
          <w:szCs w:val="20"/>
        </w:rPr>
        <w:t>e de produits, services offerts</w:t>
      </w:r>
      <w:r w:rsidRPr="0008292A">
        <w:rPr>
          <w:color w:val="262626" w:themeColor="text1" w:themeTint="D9"/>
          <w:sz w:val="20"/>
          <w:szCs w:val="20"/>
        </w:rPr>
        <w:t xml:space="preserve">). </w:t>
      </w:r>
    </w:p>
    <w:p w:rsidR="005468C0" w:rsidRPr="0008292A" w:rsidRDefault="00DB4EBD" w:rsidP="005468C0">
      <w:pPr>
        <w:jc w:val="left"/>
        <w:rPr>
          <w:color w:val="262626" w:themeColor="text1" w:themeTint="D9"/>
          <w:sz w:val="20"/>
          <w:szCs w:val="20"/>
        </w:rPr>
      </w:pPr>
      <w:r w:rsidRPr="0008292A">
        <w:rPr>
          <w:color w:val="262626" w:themeColor="text1" w:themeTint="D9"/>
          <w:sz w:val="20"/>
          <w:szCs w:val="20"/>
        </w:rPr>
        <w:t xml:space="preserve">En contrepartie, les OCAM garantissent aux adhérents de leur réseau un certain volume de clients. Pour cela, les </w:t>
      </w:r>
      <w:r w:rsidR="00A60871">
        <w:rPr>
          <w:color w:val="262626" w:themeColor="text1" w:themeTint="D9"/>
          <w:sz w:val="20"/>
          <w:szCs w:val="20"/>
        </w:rPr>
        <w:t>OCAM</w:t>
      </w:r>
      <w:r w:rsidRPr="0008292A">
        <w:rPr>
          <w:color w:val="262626" w:themeColor="text1" w:themeTint="D9"/>
          <w:sz w:val="20"/>
          <w:szCs w:val="20"/>
        </w:rPr>
        <w:t xml:space="preserve"> ont développé des incitations auprès de leurs assurés afin que ceux-ci s’orientent volontairement vers les opticiens du réseau.</w:t>
      </w:r>
    </w:p>
    <w:p w:rsidR="009E3627" w:rsidRDefault="009E3627" w:rsidP="005468C0">
      <w:pPr>
        <w:jc w:val="left"/>
        <w:rPr>
          <w:color w:val="auto"/>
          <w:sz w:val="20"/>
          <w:szCs w:val="20"/>
        </w:rPr>
        <w:sectPr w:rsidR="009E3627" w:rsidSect="005468C0">
          <w:type w:val="continuous"/>
          <w:pgSz w:w="11906" w:h="16838"/>
          <w:pgMar w:top="1928" w:right="1418" w:bottom="1135" w:left="993" w:header="709" w:footer="709" w:gutter="0"/>
          <w:cols w:num="2" w:space="708"/>
          <w:docGrid w:linePitch="360"/>
        </w:sectPr>
      </w:pPr>
    </w:p>
    <w:p w:rsidR="0086437B" w:rsidRDefault="0086437B" w:rsidP="00A60871">
      <w:pPr>
        <w:ind w:right="3258"/>
        <w:jc w:val="left"/>
        <w:rPr>
          <w:color w:val="262626" w:themeColor="text1" w:themeTint="D9"/>
          <w:sz w:val="20"/>
          <w:szCs w:val="20"/>
        </w:rPr>
      </w:pPr>
    </w:p>
    <w:p w:rsidR="00DB4EBD" w:rsidRPr="0008292A" w:rsidRDefault="00A60871" w:rsidP="00A60871">
      <w:pPr>
        <w:ind w:right="3258"/>
        <w:jc w:val="left"/>
        <w:rPr>
          <w:color w:val="262626" w:themeColor="text1" w:themeTint="D9"/>
          <w:sz w:val="20"/>
          <w:szCs w:val="20"/>
        </w:rPr>
      </w:pPr>
      <w:r>
        <w:rPr>
          <w:color w:val="262626" w:themeColor="text1" w:themeTint="D9"/>
          <w:sz w:val="20"/>
          <w:szCs w:val="20"/>
        </w:rPr>
        <w:lastRenderedPageBreak/>
        <w:t>En fonction des</w:t>
      </w:r>
      <w:r w:rsidR="00DB4EBD" w:rsidRPr="0008292A">
        <w:rPr>
          <w:color w:val="262626" w:themeColor="text1" w:themeTint="D9"/>
          <w:sz w:val="20"/>
          <w:szCs w:val="20"/>
        </w:rPr>
        <w:t xml:space="preserve"> complémentaires et des contrats d’assurance, les réductions de tarifs ainsi obtenues </w:t>
      </w:r>
      <w:r w:rsidR="00754D8A" w:rsidRPr="0008292A">
        <w:rPr>
          <w:color w:val="262626" w:themeColor="text1" w:themeTint="D9"/>
          <w:sz w:val="20"/>
          <w:szCs w:val="20"/>
        </w:rPr>
        <w:t xml:space="preserve">au sein d’un réseau </w:t>
      </w:r>
      <w:r w:rsidR="00DB4EBD" w:rsidRPr="0008292A">
        <w:rPr>
          <w:color w:val="262626" w:themeColor="text1" w:themeTint="D9"/>
          <w:sz w:val="20"/>
          <w:szCs w:val="20"/>
        </w:rPr>
        <w:t xml:space="preserve">peuvent atteindre jusqu’à 40% pour des verres correcteurs par rapport au prix moyen de marché. Selon les </w:t>
      </w:r>
      <w:r w:rsidR="00754D8A" w:rsidRPr="0008292A">
        <w:rPr>
          <w:color w:val="262626" w:themeColor="text1" w:themeTint="D9"/>
          <w:sz w:val="20"/>
          <w:szCs w:val="20"/>
        </w:rPr>
        <w:t>réseaux d’opticiens-lunetiers</w:t>
      </w:r>
      <w:r w:rsidR="00DB4EBD" w:rsidRPr="0008292A">
        <w:rPr>
          <w:color w:val="262626" w:themeColor="text1" w:themeTint="D9"/>
          <w:sz w:val="20"/>
          <w:szCs w:val="20"/>
        </w:rPr>
        <w:t>, les montures, les lentilles, et d’autres produits d’optique, comme les produits d’entretien, peuvent également donner lieu à des tarifs avantageux.</w:t>
      </w:r>
    </w:p>
    <w:p w:rsidR="005468C0" w:rsidRDefault="005468C0" w:rsidP="00DB4EBD">
      <w:pPr>
        <w:pStyle w:val="Paragraphedeliste"/>
        <w:ind w:left="1134"/>
        <w:sectPr w:rsidR="005468C0" w:rsidSect="009E3627">
          <w:type w:val="continuous"/>
          <w:pgSz w:w="11906" w:h="16838"/>
          <w:pgMar w:top="1928" w:right="1418" w:bottom="1135" w:left="993" w:header="709" w:footer="709" w:gutter="0"/>
          <w:cols w:space="708"/>
          <w:docGrid w:linePitch="360"/>
        </w:sectPr>
      </w:pPr>
    </w:p>
    <w:p w:rsidR="00DB4EBD" w:rsidRPr="00DB6BE0" w:rsidRDefault="00DB4EBD" w:rsidP="00DB4EBD">
      <w:pPr>
        <w:pStyle w:val="Paragraphedeliste"/>
        <w:ind w:left="1134"/>
        <w:rPr>
          <w:sz w:val="10"/>
          <w:szCs w:val="10"/>
        </w:rPr>
      </w:pPr>
    </w:p>
    <w:p w:rsidR="00DB4EBD" w:rsidRPr="005468C0" w:rsidRDefault="005468C0" w:rsidP="005468C0">
      <w:pPr>
        <w:pStyle w:val="Paragraphedeliste"/>
        <w:ind w:left="0"/>
        <w:jc w:val="left"/>
        <w:rPr>
          <w:b/>
          <w:color w:val="auto"/>
          <w:sz w:val="20"/>
          <w:szCs w:val="20"/>
        </w:rPr>
      </w:pPr>
      <w:r w:rsidRPr="005468C0">
        <w:rPr>
          <w:color w:val="7A003C"/>
          <w:sz w:val="18"/>
          <w:szCs w:val="18"/>
        </w:rPr>
        <w:t>Tableau 1.</w:t>
      </w:r>
      <w:r>
        <w:rPr>
          <w:b/>
          <w:color w:val="auto"/>
        </w:rPr>
        <w:tab/>
      </w:r>
      <w:r w:rsidR="00DB4EBD" w:rsidRPr="005468C0">
        <w:rPr>
          <w:b/>
          <w:color w:val="auto"/>
          <w:sz w:val="20"/>
          <w:szCs w:val="20"/>
        </w:rPr>
        <w:t>Tarifs négociés par réseau</w:t>
      </w:r>
      <w:r>
        <w:rPr>
          <w:b/>
          <w:color w:val="auto"/>
          <w:sz w:val="20"/>
          <w:szCs w:val="20"/>
        </w:rPr>
        <w:t xml:space="preserve"> conventionné d’opticiens-lunetiers</w:t>
      </w:r>
    </w:p>
    <w:p w:rsidR="00DB4EBD" w:rsidRPr="005468C0" w:rsidRDefault="00DB4EBD" w:rsidP="00DB4EBD">
      <w:pPr>
        <w:pStyle w:val="Paragraphedeliste"/>
        <w:ind w:left="1134"/>
        <w:rPr>
          <w:color w:val="auto"/>
          <w:sz w:val="20"/>
          <w:szCs w:val="20"/>
        </w:rPr>
      </w:pPr>
    </w:p>
    <w:tbl>
      <w:tblPr>
        <w:tblStyle w:val="Trameclaire-Accent11"/>
        <w:tblW w:w="0" w:type="auto"/>
        <w:tblLook w:val="04A0" w:firstRow="1" w:lastRow="0" w:firstColumn="1" w:lastColumn="0" w:noHBand="0" w:noVBand="1"/>
      </w:tblPr>
      <w:tblGrid>
        <w:gridCol w:w="1384"/>
        <w:gridCol w:w="1985"/>
        <w:gridCol w:w="1275"/>
        <w:gridCol w:w="2127"/>
        <w:gridCol w:w="1306"/>
        <w:gridCol w:w="1634"/>
      </w:tblGrid>
      <w:tr w:rsidR="00DB4EBD" w:rsidRPr="0008292A" w:rsidTr="00796B8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84" w:type="dxa"/>
            <w:vMerge w:val="restart"/>
            <w:tcBorders>
              <w:top w:val="single" w:sz="4" w:space="0" w:color="262626" w:themeColor="text1" w:themeTint="D9"/>
            </w:tcBorders>
            <w:shd w:val="clear" w:color="auto" w:fill="F2F2F2" w:themeFill="background1" w:themeFillShade="F2"/>
            <w:vAlign w:val="center"/>
          </w:tcPr>
          <w:p w:rsidR="00DB4EBD" w:rsidRPr="0008292A" w:rsidRDefault="00DB4EBD" w:rsidP="00CE6EEF">
            <w:pPr>
              <w:pStyle w:val="Paragraphedeliste"/>
              <w:ind w:left="0"/>
              <w:jc w:val="center"/>
              <w:rPr>
                <w:color w:val="262626" w:themeColor="text1" w:themeTint="D9"/>
                <w:sz w:val="18"/>
                <w:szCs w:val="18"/>
              </w:rPr>
            </w:pPr>
            <w:r w:rsidRPr="0008292A">
              <w:rPr>
                <w:color w:val="262626" w:themeColor="text1" w:themeTint="D9"/>
                <w:sz w:val="18"/>
                <w:szCs w:val="18"/>
              </w:rPr>
              <w:t>Réseau</w:t>
            </w:r>
          </w:p>
        </w:tc>
        <w:tc>
          <w:tcPr>
            <w:tcW w:w="1985" w:type="dxa"/>
            <w:vMerge w:val="restart"/>
            <w:tcBorders>
              <w:top w:val="single" w:sz="4" w:space="0" w:color="262626" w:themeColor="text1" w:themeTint="D9"/>
            </w:tcBorders>
            <w:shd w:val="clear" w:color="auto" w:fill="F2F2F2" w:themeFill="background1" w:themeFillShade="F2"/>
            <w:vAlign w:val="center"/>
          </w:tcPr>
          <w:p w:rsidR="00DB4EBD" w:rsidRPr="0008292A" w:rsidRDefault="00DB4EBD" w:rsidP="00CE6EEF">
            <w:pPr>
              <w:pStyle w:val="Paragraphedeliste"/>
              <w:ind w:left="0"/>
              <w:jc w:val="center"/>
              <w:cnfStyle w:val="100000000000" w:firstRow="1" w:lastRow="0" w:firstColumn="0" w:lastColumn="0" w:oddVBand="0" w:evenVBand="0" w:oddHBand="0" w:evenHBand="0" w:firstRowFirstColumn="0" w:firstRowLastColumn="0" w:lastRowFirstColumn="0" w:lastRowLastColumn="0"/>
              <w:rPr>
                <w:color w:val="262626" w:themeColor="text1" w:themeTint="D9"/>
                <w:sz w:val="18"/>
                <w:szCs w:val="18"/>
              </w:rPr>
            </w:pPr>
            <w:r w:rsidRPr="0008292A">
              <w:rPr>
                <w:color w:val="262626" w:themeColor="text1" w:themeTint="D9"/>
                <w:sz w:val="18"/>
                <w:szCs w:val="18"/>
              </w:rPr>
              <w:t>OCAM principaux</w:t>
            </w:r>
          </w:p>
        </w:tc>
        <w:tc>
          <w:tcPr>
            <w:tcW w:w="1275" w:type="dxa"/>
            <w:vMerge w:val="restart"/>
            <w:tcBorders>
              <w:top w:val="single" w:sz="4" w:space="0" w:color="262626" w:themeColor="text1" w:themeTint="D9"/>
            </w:tcBorders>
            <w:shd w:val="clear" w:color="auto" w:fill="F2F2F2" w:themeFill="background1" w:themeFillShade="F2"/>
            <w:vAlign w:val="center"/>
          </w:tcPr>
          <w:p w:rsidR="00DB4EBD" w:rsidRPr="0008292A" w:rsidRDefault="00DB4EBD" w:rsidP="00CE6EEF">
            <w:pPr>
              <w:pStyle w:val="Paragraphedeliste"/>
              <w:ind w:left="0"/>
              <w:jc w:val="center"/>
              <w:cnfStyle w:val="100000000000" w:firstRow="1" w:lastRow="0" w:firstColumn="0" w:lastColumn="0" w:oddVBand="0" w:evenVBand="0" w:oddHBand="0" w:evenHBand="0" w:firstRowFirstColumn="0" w:firstRowLastColumn="0" w:lastRowFirstColumn="0" w:lastRowLastColumn="0"/>
              <w:rPr>
                <w:color w:val="262626" w:themeColor="text1" w:themeTint="D9"/>
                <w:sz w:val="18"/>
                <w:szCs w:val="18"/>
              </w:rPr>
            </w:pPr>
            <w:r w:rsidRPr="0008292A">
              <w:rPr>
                <w:color w:val="262626" w:themeColor="text1" w:themeTint="D9"/>
                <w:sz w:val="18"/>
                <w:szCs w:val="18"/>
              </w:rPr>
              <w:t>Bénéficiaires</w:t>
            </w:r>
          </w:p>
          <w:p w:rsidR="00DB4EBD" w:rsidRPr="0008292A" w:rsidRDefault="00DB4EBD" w:rsidP="00CE6EEF">
            <w:pPr>
              <w:pStyle w:val="Paragraphedeliste"/>
              <w:ind w:left="0"/>
              <w:jc w:val="center"/>
              <w:cnfStyle w:val="100000000000" w:firstRow="1" w:lastRow="0" w:firstColumn="0" w:lastColumn="0" w:oddVBand="0" w:evenVBand="0" w:oddHBand="0" w:evenHBand="0" w:firstRowFirstColumn="0" w:firstRowLastColumn="0" w:lastRowFirstColumn="0" w:lastRowLastColumn="0"/>
              <w:rPr>
                <w:color w:val="262626" w:themeColor="text1" w:themeTint="D9"/>
                <w:sz w:val="18"/>
                <w:szCs w:val="18"/>
              </w:rPr>
            </w:pPr>
            <w:r w:rsidRPr="0008292A">
              <w:rPr>
                <w:color w:val="262626" w:themeColor="text1" w:themeTint="D9"/>
                <w:sz w:val="18"/>
                <w:szCs w:val="18"/>
              </w:rPr>
              <w:t xml:space="preserve"> </w:t>
            </w:r>
            <w:r w:rsidRPr="0008292A">
              <w:rPr>
                <w:b w:val="0"/>
                <w:color w:val="262626" w:themeColor="text1" w:themeTint="D9"/>
                <w:sz w:val="18"/>
                <w:szCs w:val="18"/>
              </w:rPr>
              <w:t>(en millions)</w:t>
            </w:r>
          </w:p>
        </w:tc>
        <w:tc>
          <w:tcPr>
            <w:tcW w:w="5067" w:type="dxa"/>
            <w:gridSpan w:val="3"/>
            <w:tcBorders>
              <w:top w:val="single" w:sz="4" w:space="0" w:color="262626" w:themeColor="text1" w:themeTint="D9"/>
              <w:bottom w:val="single" w:sz="4" w:space="0" w:color="262626" w:themeColor="text1" w:themeTint="D9"/>
            </w:tcBorders>
            <w:shd w:val="clear" w:color="auto" w:fill="F2F2F2" w:themeFill="background1" w:themeFillShade="F2"/>
            <w:vAlign w:val="center"/>
          </w:tcPr>
          <w:p w:rsidR="00DB4EBD" w:rsidRPr="0008292A" w:rsidRDefault="00DB4EBD" w:rsidP="00CE6EEF">
            <w:pPr>
              <w:pStyle w:val="Paragraphedeliste"/>
              <w:ind w:left="0"/>
              <w:jc w:val="center"/>
              <w:cnfStyle w:val="100000000000" w:firstRow="1" w:lastRow="0" w:firstColumn="0" w:lastColumn="0" w:oddVBand="0" w:evenVBand="0" w:oddHBand="0" w:evenHBand="0" w:firstRowFirstColumn="0" w:firstRowLastColumn="0" w:lastRowFirstColumn="0" w:lastRowLastColumn="0"/>
              <w:rPr>
                <w:color w:val="262626" w:themeColor="text1" w:themeTint="D9"/>
                <w:sz w:val="18"/>
                <w:szCs w:val="18"/>
              </w:rPr>
            </w:pPr>
            <w:r w:rsidRPr="0008292A">
              <w:rPr>
                <w:color w:val="262626" w:themeColor="text1" w:themeTint="D9"/>
                <w:sz w:val="18"/>
                <w:szCs w:val="18"/>
              </w:rPr>
              <w:t>Réductions moyennes de tarifs</w:t>
            </w:r>
          </w:p>
        </w:tc>
      </w:tr>
      <w:tr w:rsidR="00DB4EBD" w:rsidRPr="0008292A" w:rsidTr="00796B8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84" w:type="dxa"/>
            <w:vMerge/>
            <w:tcBorders>
              <w:bottom w:val="single" w:sz="4" w:space="0" w:color="262626" w:themeColor="text1" w:themeTint="D9"/>
            </w:tcBorders>
            <w:shd w:val="clear" w:color="auto" w:fill="F2F2F2" w:themeFill="background1" w:themeFillShade="F2"/>
            <w:vAlign w:val="center"/>
          </w:tcPr>
          <w:p w:rsidR="00DB4EBD" w:rsidRPr="0008292A" w:rsidRDefault="00DB4EBD" w:rsidP="00CE6EEF">
            <w:pPr>
              <w:pStyle w:val="Paragraphedeliste"/>
              <w:ind w:left="0"/>
              <w:jc w:val="center"/>
              <w:rPr>
                <w:color w:val="262626" w:themeColor="text1" w:themeTint="D9"/>
                <w:sz w:val="18"/>
                <w:szCs w:val="18"/>
              </w:rPr>
            </w:pPr>
          </w:p>
        </w:tc>
        <w:tc>
          <w:tcPr>
            <w:tcW w:w="1985" w:type="dxa"/>
            <w:vMerge/>
            <w:tcBorders>
              <w:bottom w:val="single" w:sz="4" w:space="0" w:color="262626" w:themeColor="text1" w:themeTint="D9"/>
            </w:tcBorders>
            <w:shd w:val="clear" w:color="auto" w:fill="F2F2F2" w:themeFill="background1" w:themeFillShade="F2"/>
            <w:vAlign w:val="center"/>
          </w:tcPr>
          <w:p w:rsidR="00DB4EBD" w:rsidRPr="0008292A" w:rsidRDefault="00DB4EBD" w:rsidP="00CE6EEF">
            <w:pPr>
              <w:pStyle w:val="Paragraphedeliste"/>
              <w:ind w:left="0"/>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8"/>
                <w:szCs w:val="18"/>
              </w:rPr>
            </w:pPr>
          </w:p>
        </w:tc>
        <w:tc>
          <w:tcPr>
            <w:tcW w:w="1275" w:type="dxa"/>
            <w:vMerge/>
            <w:tcBorders>
              <w:bottom w:val="single" w:sz="4" w:space="0" w:color="262626" w:themeColor="text1" w:themeTint="D9"/>
            </w:tcBorders>
            <w:shd w:val="clear" w:color="auto" w:fill="F2F2F2" w:themeFill="background1" w:themeFillShade="F2"/>
            <w:vAlign w:val="center"/>
          </w:tcPr>
          <w:p w:rsidR="00DB4EBD" w:rsidRPr="0008292A" w:rsidRDefault="00DB4EBD" w:rsidP="00CE6EEF">
            <w:pPr>
              <w:pStyle w:val="Paragraphedeliste"/>
              <w:ind w:left="0"/>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8"/>
                <w:szCs w:val="18"/>
              </w:rPr>
            </w:pPr>
          </w:p>
        </w:tc>
        <w:tc>
          <w:tcPr>
            <w:tcW w:w="2127" w:type="dxa"/>
            <w:tcBorders>
              <w:top w:val="single" w:sz="4" w:space="0" w:color="262626" w:themeColor="text1" w:themeTint="D9"/>
              <w:bottom w:val="single" w:sz="4" w:space="0" w:color="262626" w:themeColor="text1" w:themeTint="D9"/>
            </w:tcBorders>
            <w:shd w:val="clear" w:color="auto" w:fill="F2F2F2" w:themeFill="background1" w:themeFillShade="F2"/>
            <w:vAlign w:val="center"/>
          </w:tcPr>
          <w:p w:rsidR="00DB4EBD" w:rsidRPr="0008292A" w:rsidRDefault="00DB4EBD" w:rsidP="00CE6EEF">
            <w:pPr>
              <w:pStyle w:val="Paragraphedeliste"/>
              <w:ind w:left="0"/>
              <w:jc w:val="center"/>
              <w:cnfStyle w:val="000000100000" w:firstRow="0" w:lastRow="0" w:firstColumn="0" w:lastColumn="0" w:oddVBand="0" w:evenVBand="0" w:oddHBand="1" w:evenHBand="0" w:firstRowFirstColumn="0" w:firstRowLastColumn="0" w:lastRowFirstColumn="0" w:lastRowLastColumn="0"/>
              <w:rPr>
                <w:b/>
                <w:color w:val="262626" w:themeColor="text1" w:themeTint="D9"/>
                <w:sz w:val="18"/>
                <w:szCs w:val="18"/>
              </w:rPr>
            </w:pPr>
            <w:r w:rsidRPr="0008292A">
              <w:rPr>
                <w:b/>
                <w:color w:val="262626" w:themeColor="text1" w:themeTint="D9"/>
                <w:sz w:val="18"/>
                <w:szCs w:val="18"/>
              </w:rPr>
              <w:t>Optique</w:t>
            </w:r>
          </w:p>
        </w:tc>
        <w:tc>
          <w:tcPr>
            <w:tcW w:w="1306" w:type="dxa"/>
            <w:tcBorders>
              <w:top w:val="single" w:sz="4" w:space="0" w:color="262626" w:themeColor="text1" w:themeTint="D9"/>
              <w:bottom w:val="single" w:sz="4" w:space="0" w:color="262626" w:themeColor="text1" w:themeTint="D9"/>
            </w:tcBorders>
            <w:shd w:val="clear" w:color="auto" w:fill="F2F2F2" w:themeFill="background1" w:themeFillShade="F2"/>
            <w:vAlign w:val="center"/>
          </w:tcPr>
          <w:p w:rsidR="00DB4EBD" w:rsidRPr="0008292A" w:rsidRDefault="00DB4EBD" w:rsidP="00CE6EEF">
            <w:pPr>
              <w:pStyle w:val="Paragraphedeliste"/>
              <w:ind w:left="0"/>
              <w:jc w:val="center"/>
              <w:cnfStyle w:val="000000100000" w:firstRow="0" w:lastRow="0" w:firstColumn="0" w:lastColumn="0" w:oddVBand="0" w:evenVBand="0" w:oddHBand="1" w:evenHBand="0" w:firstRowFirstColumn="0" w:firstRowLastColumn="0" w:lastRowFirstColumn="0" w:lastRowLastColumn="0"/>
              <w:rPr>
                <w:b/>
                <w:color w:val="262626" w:themeColor="text1" w:themeTint="D9"/>
                <w:sz w:val="18"/>
                <w:szCs w:val="18"/>
              </w:rPr>
            </w:pPr>
            <w:r w:rsidRPr="0008292A">
              <w:rPr>
                <w:b/>
                <w:color w:val="262626" w:themeColor="text1" w:themeTint="D9"/>
                <w:sz w:val="18"/>
                <w:szCs w:val="18"/>
              </w:rPr>
              <w:t>Dentaire</w:t>
            </w:r>
          </w:p>
        </w:tc>
        <w:tc>
          <w:tcPr>
            <w:tcW w:w="1634" w:type="dxa"/>
            <w:tcBorders>
              <w:top w:val="single" w:sz="4" w:space="0" w:color="262626" w:themeColor="text1" w:themeTint="D9"/>
              <w:bottom w:val="single" w:sz="4" w:space="0" w:color="262626" w:themeColor="text1" w:themeTint="D9"/>
            </w:tcBorders>
            <w:shd w:val="clear" w:color="auto" w:fill="F2F2F2" w:themeFill="background1" w:themeFillShade="F2"/>
            <w:vAlign w:val="center"/>
          </w:tcPr>
          <w:p w:rsidR="00DB4EBD" w:rsidRPr="0008292A" w:rsidRDefault="00DB4EBD" w:rsidP="00CE6EEF">
            <w:pPr>
              <w:pStyle w:val="Paragraphedeliste"/>
              <w:ind w:left="0"/>
              <w:jc w:val="center"/>
              <w:cnfStyle w:val="000000100000" w:firstRow="0" w:lastRow="0" w:firstColumn="0" w:lastColumn="0" w:oddVBand="0" w:evenVBand="0" w:oddHBand="1" w:evenHBand="0" w:firstRowFirstColumn="0" w:firstRowLastColumn="0" w:lastRowFirstColumn="0" w:lastRowLastColumn="0"/>
              <w:rPr>
                <w:b/>
                <w:color w:val="262626" w:themeColor="text1" w:themeTint="D9"/>
                <w:sz w:val="18"/>
                <w:szCs w:val="18"/>
              </w:rPr>
            </w:pPr>
            <w:r w:rsidRPr="0008292A">
              <w:rPr>
                <w:b/>
                <w:color w:val="262626" w:themeColor="text1" w:themeTint="D9"/>
                <w:sz w:val="18"/>
                <w:szCs w:val="18"/>
              </w:rPr>
              <w:t>Audioprothèse</w:t>
            </w:r>
          </w:p>
        </w:tc>
      </w:tr>
      <w:tr w:rsidR="00DB4EBD" w:rsidRPr="0008292A" w:rsidTr="00796B89">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262626" w:themeColor="text1" w:themeTint="D9"/>
              <w:bottom w:val="single" w:sz="4" w:space="0" w:color="BFBFBF" w:themeColor="background1" w:themeShade="BF"/>
            </w:tcBorders>
            <w:shd w:val="clear" w:color="auto" w:fill="auto"/>
            <w:vAlign w:val="center"/>
          </w:tcPr>
          <w:p w:rsidR="00DB4EBD" w:rsidRPr="0008292A" w:rsidRDefault="00DB4EBD" w:rsidP="00CE6EEF">
            <w:pPr>
              <w:pStyle w:val="Paragraphedeliste"/>
              <w:ind w:left="0"/>
              <w:jc w:val="center"/>
              <w:rPr>
                <w:color w:val="262626" w:themeColor="text1" w:themeTint="D9"/>
                <w:sz w:val="18"/>
                <w:szCs w:val="18"/>
              </w:rPr>
            </w:pPr>
            <w:proofErr w:type="spellStart"/>
            <w:r w:rsidRPr="0008292A">
              <w:rPr>
                <w:color w:val="262626" w:themeColor="text1" w:themeTint="D9"/>
                <w:sz w:val="18"/>
                <w:szCs w:val="18"/>
              </w:rPr>
              <w:t>SantéClair</w:t>
            </w:r>
            <w:proofErr w:type="spellEnd"/>
          </w:p>
        </w:tc>
        <w:tc>
          <w:tcPr>
            <w:tcW w:w="1985" w:type="dxa"/>
            <w:tcBorders>
              <w:top w:val="single" w:sz="4" w:space="0" w:color="262626" w:themeColor="text1" w:themeTint="D9"/>
              <w:bottom w:val="single" w:sz="4" w:space="0" w:color="BFBFBF" w:themeColor="background1" w:themeShade="BF"/>
            </w:tcBorders>
            <w:shd w:val="clear" w:color="auto" w:fill="auto"/>
            <w:vAlign w:val="center"/>
          </w:tcPr>
          <w:p w:rsidR="00DB4EBD" w:rsidRPr="0008292A" w:rsidRDefault="00DB4EBD" w:rsidP="00CE6EEF">
            <w:pPr>
              <w:pStyle w:val="Paragraphedeliste"/>
              <w:ind w:left="0"/>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8"/>
                <w:szCs w:val="18"/>
              </w:rPr>
            </w:pPr>
            <w:r w:rsidRPr="0008292A">
              <w:rPr>
                <w:color w:val="262626" w:themeColor="text1" w:themeTint="D9"/>
                <w:sz w:val="18"/>
                <w:szCs w:val="18"/>
              </w:rPr>
              <w:t>Allianz, MMA, MMAF, IPECA, MGP, GMF, AGF</w:t>
            </w:r>
          </w:p>
        </w:tc>
        <w:tc>
          <w:tcPr>
            <w:tcW w:w="1275" w:type="dxa"/>
            <w:tcBorders>
              <w:top w:val="single" w:sz="4" w:space="0" w:color="262626" w:themeColor="text1" w:themeTint="D9"/>
              <w:bottom w:val="single" w:sz="4" w:space="0" w:color="BFBFBF" w:themeColor="background1" w:themeShade="BF"/>
            </w:tcBorders>
            <w:shd w:val="clear" w:color="auto" w:fill="auto"/>
            <w:vAlign w:val="center"/>
          </w:tcPr>
          <w:p w:rsidR="00DB4EBD" w:rsidRPr="0008292A" w:rsidRDefault="00DB4EBD" w:rsidP="00CE6EEF">
            <w:pPr>
              <w:pStyle w:val="Paragraphedeliste"/>
              <w:ind w:left="0"/>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8"/>
                <w:szCs w:val="18"/>
              </w:rPr>
            </w:pPr>
            <w:r w:rsidRPr="0008292A">
              <w:rPr>
                <w:color w:val="262626" w:themeColor="text1" w:themeTint="D9"/>
                <w:sz w:val="18"/>
                <w:szCs w:val="18"/>
              </w:rPr>
              <w:t>6</w:t>
            </w:r>
          </w:p>
        </w:tc>
        <w:tc>
          <w:tcPr>
            <w:tcW w:w="2127" w:type="dxa"/>
            <w:tcBorders>
              <w:top w:val="single" w:sz="4" w:space="0" w:color="262626" w:themeColor="text1" w:themeTint="D9"/>
              <w:bottom w:val="single" w:sz="4" w:space="0" w:color="BFBFBF" w:themeColor="background1" w:themeShade="BF"/>
            </w:tcBorders>
            <w:shd w:val="clear" w:color="auto" w:fill="auto"/>
            <w:vAlign w:val="center"/>
          </w:tcPr>
          <w:p w:rsidR="00DB4EBD" w:rsidRPr="0008292A" w:rsidRDefault="00DB4EBD" w:rsidP="00CE6EEF">
            <w:pPr>
              <w:pStyle w:val="Paragraphedeliste"/>
              <w:ind w:left="0"/>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8"/>
                <w:szCs w:val="18"/>
              </w:rPr>
            </w:pPr>
            <w:r w:rsidRPr="0008292A">
              <w:rPr>
                <w:color w:val="262626" w:themeColor="text1" w:themeTint="D9"/>
                <w:sz w:val="18"/>
                <w:szCs w:val="18"/>
              </w:rPr>
              <w:t>Verre</w:t>
            </w:r>
            <w:r w:rsidR="00FA7B0D">
              <w:rPr>
                <w:color w:val="262626" w:themeColor="text1" w:themeTint="D9"/>
                <w:sz w:val="18"/>
                <w:szCs w:val="18"/>
              </w:rPr>
              <w:t>s</w:t>
            </w:r>
            <w:r w:rsidRPr="0008292A">
              <w:rPr>
                <w:color w:val="262626" w:themeColor="text1" w:themeTint="D9"/>
                <w:sz w:val="18"/>
                <w:szCs w:val="18"/>
              </w:rPr>
              <w:t> : 40%</w:t>
            </w:r>
          </w:p>
          <w:p w:rsidR="00DB4EBD" w:rsidRPr="0008292A" w:rsidRDefault="00DB4EBD" w:rsidP="00CE6EEF">
            <w:pPr>
              <w:pStyle w:val="Paragraphedeliste"/>
              <w:ind w:left="0"/>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8"/>
                <w:szCs w:val="18"/>
              </w:rPr>
            </w:pPr>
            <w:r w:rsidRPr="0008292A">
              <w:rPr>
                <w:color w:val="262626" w:themeColor="text1" w:themeTint="D9"/>
                <w:sz w:val="18"/>
                <w:szCs w:val="18"/>
              </w:rPr>
              <w:t>Montures : 15%</w:t>
            </w:r>
          </w:p>
        </w:tc>
        <w:tc>
          <w:tcPr>
            <w:tcW w:w="1306" w:type="dxa"/>
            <w:tcBorders>
              <w:top w:val="single" w:sz="4" w:space="0" w:color="262626" w:themeColor="text1" w:themeTint="D9"/>
              <w:bottom w:val="single" w:sz="4" w:space="0" w:color="BFBFBF" w:themeColor="background1" w:themeShade="BF"/>
            </w:tcBorders>
            <w:shd w:val="clear" w:color="auto" w:fill="auto"/>
            <w:vAlign w:val="center"/>
          </w:tcPr>
          <w:p w:rsidR="00DB4EBD" w:rsidRPr="0008292A" w:rsidRDefault="00DB4EBD" w:rsidP="00CE6EEF">
            <w:pPr>
              <w:pStyle w:val="Paragraphedeliste"/>
              <w:ind w:left="0"/>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8"/>
                <w:szCs w:val="18"/>
              </w:rPr>
            </w:pPr>
            <w:r w:rsidRPr="0008292A">
              <w:rPr>
                <w:color w:val="262626" w:themeColor="text1" w:themeTint="D9"/>
                <w:sz w:val="18"/>
                <w:szCs w:val="18"/>
              </w:rPr>
              <w:t>10 à 20%</w:t>
            </w:r>
          </w:p>
        </w:tc>
        <w:tc>
          <w:tcPr>
            <w:tcW w:w="1634" w:type="dxa"/>
            <w:tcBorders>
              <w:top w:val="single" w:sz="4" w:space="0" w:color="262626" w:themeColor="text1" w:themeTint="D9"/>
              <w:bottom w:val="single" w:sz="4" w:space="0" w:color="BFBFBF" w:themeColor="background1" w:themeShade="BF"/>
            </w:tcBorders>
            <w:shd w:val="clear" w:color="auto" w:fill="auto"/>
            <w:vAlign w:val="center"/>
          </w:tcPr>
          <w:p w:rsidR="00DB4EBD" w:rsidRPr="0008292A" w:rsidRDefault="00DB4EBD" w:rsidP="00CE6EEF">
            <w:pPr>
              <w:pStyle w:val="Paragraphedeliste"/>
              <w:ind w:left="0"/>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8"/>
                <w:szCs w:val="18"/>
              </w:rPr>
            </w:pPr>
            <w:r w:rsidRPr="0008292A">
              <w:rPr>
                <w:color w:val="262626" w:themeColor="text1" w:themeTint="D9"/>
                <w:sz w:val="18"/>
                <w:szCs w:val="18"/>
              </w:rPr>
              <w:t>40%</w:t>
            </w:r>
          </w:p>
        </w:tc>
      </w:tr>
      <w:tr w:rsidR="00DB4EBD" w:rsidRPr="0008292A" w:rsidTr="00796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BFBFBF" w:themeColor="background1" w:themeShade="BF"/>
              <w:bottom w:val="single" w:sz="4" w:space="0" w:color="BFBFBF" w:themeColor="background1" w:themeShade="BF"/>
            </w:tcBorders>
            <w:shd w:val="clear" w:color="auto" w:fill="auto"/>
            <w:vAlign w:val="center"/>
          </w:tcPr>
          <w:p w:rsidR="00DB4EBD" w:rsidRPr="0008292A" w:rsidRDefault="00DB4EBD" w:rsidP="00CE6EEF">
            <w:pPr>
              <w:pStyle w:val="Paragraphedeliste"/>
              <w:ind w:left="0"/>
              <w:jc w:val="center"/>
              <w:rPr>
                <w:color w:val="262626" w:themeColor="text1" w:themeTint="D9"/>
                <w:sz w:val="18"/>
                <w:szCs w:val="18"/>
              </w:rPr>
            </w:pPr>
            <w:proofErr w:type="spellStart"/>
            <w:r w:rsidRPr="0008292A">
              <w:rPr>
                <w:color w:val="262626" w:themeColor="text1" w:themeTint="D9"/>
                <w:sz w:val="18"/>
                <w:szCs w:val="18"/>
              </w:rPr>
              <w:t>Kalivia</w:t>
            </w:r>
            <w:proofErr w:type="spellEnd"/>
          </w:p>
        </w:tc>
        <w:tc>
          <w:tcPr>
            <w:tcW w:w="1985" w:type="dxa"/>
            <w:tcBorders>
              <w:top w:val="single" w:sz="4" w:space="0" w:color="BFBFBF" w:themeColor="background1" w:themeShade="BF"/>
              <w:bottom w:val="single" w:sz="4" w:space="0" w:color="BFBFBF" w:themeColor="background1" w:themeShade="BF"/>
            </w:tcBorders>
            <w:shd w:val="clear" w:color="auto" w:fill="auto"/>
            <w:vAlign w:val="center"/>
          </w:tcPr>
          <w:p w:rsidR="00DB4EBD" w:rsidRPr="0008292A" w:rsidRDefault="00DB4EBD" w:rsidP="00CE6EEF">
            <w:pPr>
              <w:pStyle w:val="Paragraphedeliste"/>
              <w:ind w:left="0"/>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8"/>
                <w:szCs w:val="18"/>
              </w:rPr>
            </w:pPr>
            <w:r w:rsidRPr="0008292A">
              <w:rPr>
                <w:color w:val="262626" w:themeColor="text1" w:themeTint="D9"/>
                <w:sz w:val="18"/>
                <w:szCs w:val="18"/>
              </w:rPr>
              <w:t>Malakoff-</w:t>
            </w:r>
            <w:proofErr w:type="spellStart"/>
            <w:r w:rsidRPr="0008292A">
              <w:rPr>
                <w:color w:val="262626" w:themeColor="text1" w:themeTint="D9"/>
                <w:sz w:val="18"/>
                <w:szCs w:val="18"/>
              </w:rPr>
              <w:t>Méderic</w:t>
            </w:r>
            <w:proofErr w:type="spellEnd"/>
            <w:r w:rsidRPr="0008292A">
              <w:rPr>
                <w:color w:val="262626" w:themeColor="text1" w:themeTint="D9"/>
                <w:sz w:val="18"/>
                <w:szCs w:val="18"/>
              </w:rPr>
              <w:t>, Harmonie mutuelles</w:t>
            </w:r>
          </w:p>
        </w:tc>
        <w:tc>
          <w:tcPr>
            <w:tcW w:w="1275" w:type="dxa"/>
            <w:tcBorders>
              <w:top w:val="single" w:sz="4" w:space="0" w:color="BFBFBF" w:themeColor="background1" w:themeShade="BF"/>
              <w:bottom w:val="single" w:sz="4" w:space="0" w:color="BFBFBF" w:themeColor="background1" w:themeShade="BF"/>
            </w:tcBorders>
            <w:shd w:val="clear" w:color="auto" w:fill="auto"/>
            <w:vAlign w:val="center"/>
          </w:tcPr>
          <w:p w:rsidR="00DB4EBD" w:rsidRPr="0008292A" w:rsidRDefault="00DB4EBD" w:rsidP="00CE6EEF">
            <w:pPr>
              <w:pStyle w:val="Paragraphedeliste"/>
              <w:ind w:left="0"/>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8"/>
                <w:szCs w:val="18"/>
              </w:rPr>
            </w:pPr>
            <w:r w:rsidRPr="0008292A">
              <w:rPr>
                <w:color w:val="262626" w:themeColor="text1" w:themeTint="D9"/>
                <w:sz w:val="18"/>
                <w:szCs w:val="18"/>
              </w:rPr>
              <w:t>6</w:t>
            </w:r>
          </w:p>
        </w:tc>
        <w:tc>
          <w:tcPr>
            <w:tcW w:w="2127" w:type="dxa"/>
            <w:tcBorders>
              <w:top w:val="single" w:sz="4" w:space="0" w:color="BFBFBF" w:themeColor="background1" w:themeShade="BF"/>
              <w:bottom w:val="single" w:sz="4" w:space="0" w:color="BFBFBF" w:themeColor="background1" w:themeShade="BF"/>
            </w:tcBorders>
            <w:shd w:val="clear" w:color="auto" w:fill="auto"/>
            <w:vAlign w:val="center"/>
          </w:tcPr>
          <w:p w:rsidR="00DB4EBD" w:rsidRPr="0008292A" w:rsidRDefault="00DB4EBD" w:rsidP="00CE6EEF">
            <w:pPr>
              <w:pStyle w:val="Paragraphedeliste"/>
              <w:ind w:left="0"/>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8"/>
                <w:szCs w:val="18"/>
              </w:rPr>
            </w:pPr>
            <w:r w:rsidRPr="0008292A">
              <w:rPr>
                <w:color w:val="262626" w:themeColor="text1" w:themeTint="D9"/>
                <w:sz w:val="18"/>
                <w:szCs w:val="18"/>
              </w:rPr>
              <w:t>Verres : 40%</w:t>
            </w:r>
          </w:p>
          <w:p w:rsidR="00DB4EBD" w:rsidRPr="0008292A" w:rsidRDefault="00DB4EBD" w:rsidP="00CE6EEF">
            <w:pPr>
              <w:pStyle w:val="Paragraphedeliste"/>
              <w:ind w:left="0"/>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8"/>
                <w:szCs w:val="18"/>
              </w:rPr>
            </w:pPr>
            <w:r w:rsidRPr="0008292A">
              <w:rPr>
                <w:color w:val="262626" w:themeColor="text1" w:themeTint="D9"/>
                <w:sz w:val="18"/>
                <w:szCs w:val="18"/>
              </w:rPr>
              <w:t>Montures : 15%</w:t>
            </w:r>
          </w:p>
        </w:tc>
        <w:tc>
          <w:tcPr>
            <w:tcW w:w="1306" w:type="dxa"/>
            <w:tcBorders>
              <w:top w:val="single" w:sz="4" w:space="0" w:color="BFBFBF" w:themeColor="background1" w:themeShade="BF"/>
              <w:bottom w:val="single" w:sz="4" w:space="0" w:color="BFBFBF" w:themeColor="background1" w:themeShade="BF"/>
            </w:tcBorders>
            <w:shd w:val="clear" w:color="auto" w:fill="auto"/>
            <w:vAlign w:val="center"/>
          </w:tcPr>
          <w:p w:rsidR="00DB4EBD" w:rsidRPr="0008292A" w:rsidRDefault="00DB4EBD" w:rsidP="00CE6EEF">
            <w:pPr>
              <w:pStyle w:val="Paragraphedeliste"/>
              <w:ind w:left="0"/>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8"/>
                <w:szCs w:val="18"/>
              </w:rPr>
            </w:pPr>
            <w:r w:rsidRPr="0008292A">
              <w:rPr>
                <w:rFonts w:ascii="Verdana" w:hAnsi="Verdana" w:cs="Verdana"/>
                <w:color w:val="262626" w:themeColor="text1" w:themeTint="D9"/>
                <w:sz w:val="18"/>
                <w:szCs w:val="18"/>
              </w:rPr>
              <w:t>ø</w:t>
            </w:r>
          </w:p>
        </w:tc>
        <w:tc>
          <w:tcPr>
            <w:tcW w:w="1634" w:type="dxa"/>
            <w:tcBorders>
              <w:top w:val="single" w:sz="4" w:space="0" w:color="BFBFBF" w:themeColor="background1" w:themeShade="BF"/>
              <w:bottom w:val="single" w:sz="4" w:space="0" w:color="BFBFBF" w:themeColor="background1" w:themeShade="BF"/>
            </w:tcBorders>
            <w:shd w:val="clear" w:color="auto" w:fill="auto"/>
            <w:vAlign w:val="center"/>
          </w:tcPr>
          <w:p w:rsidR="00DB4EBD" w:rsidRPr="0008292A" w:rsidRDefault="00DB4EBD" w:rsidP="00CE6EEF">
            <w:pPr>
              <w:pStyle w:val="Paragraphedeliste"/>
              <w:ind w:left="0"/>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8"/>
                <w:szCs w:val="18"/>
              </w:rPr>
            </w:pPr>
            <w:r w:rsidRPr="0008292A">
              <w:rPr>
                <w:color w:val="262626" w:themeColor="text1" w:themeTint="D9"/>
                <w:sz w:val="18"/>
                <w:szCs w:val="18"/>
              </w:rPr>
              <w:t>Prévu fin 2012</w:t>
            </w:r>
          </w:p>
        </w:tc>
      </w:tr>
      <w:tr w:rsidR="00DB4EBD" w:rsidRPr="0008292A" w:rsidTr="00796B89">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BFBFBF" w:themeColor="background1" w:themeShade="BF"/>
              <w:bottom w:val="single" w:sz="4" w:space="0" w:color="BFBFBF" w:themeColor="background1" w:themeShade="BF"/>
            </w:tcBorders>
            <w:shd w:val="clear" w:color="auto" w:fill="auto"/>
            <w:vAlign w:val="center"/>
          </w:tcPr>
          <w:p w:rsidR="00DB4EBD" w:rsidRPr="0008292A" w:rsidRDefault="00DB4EBD" w:rsidP="00CE6EEF">
            <w:pPr>
              <w:pStyle w:val="Paragraphedeliste"/>
              <w:ind w:left="0"/>
              <w:jc w:val="center"/>
              <w:rPr>
                <w:color w:val="262626" w:themeColor="text1" w:themeTint="D9"/>
                <w:sz w:val="18"/>
                <w:szCs w:val="18"/>
              </w:rPr>
            </w:pPr>
            <w:proofErr w:type="spellStart"/>
            <w:r w:rsidRPr="0008292A">
              <w:rPr>
                <w:color w:val="262626" w:themeColor="text1" w:themeTint="D9"/>
                <w:sz w:val="18"/>
                <w:szCs w:val="18"/>
              </w:rPr>
              <w:t>Sévéane</w:t>
            </w:r>
            <w:proofErr w:type="spellEnd"/>
          </w:p>
        </w:tc>
        <w:tc>
          <w:tcPr>
            <w:tcW w:w="1985" w:type="dxa"/>
            <w:tcBorders>
              <w:top w:val="single" w:sz="4" w:space="0" w:color="BFBFBF" w:themeColor="background1" w:themeShade="BF"/>
              <w:bottom w:val="single" w:sz="4" w:space="0" w:color="BFBFBF" w:themeColor="background1" w:themeShade="BF"/>
            </w:tcBorders>
            <w:shd w:val="clear" w:color="auto" w:fill="auto"/>
            <w:vAlign w:val="center"/>
          </w:tcPr>
          <w:p w:rsidR="00796B89" w:rsidRDefault="00DB4EBD" w:rsidP="00CE6EEF">
            <w:pPr>
              <w:pStyle w:val="Paragraphedeliste"/>
              <w:ind w:left="0"/>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8"/>
                <w:szCs w:val="18"/>
              </w:rPr>
            </w:pPr>
            <w:r w:rsidRPr="0008292A">
              <w:rPr>
                <w:color w:val="262626" w:themeColor="text1" w:themeTint="D9"/>
                <w:sz w:val="18"/>
                <w:szCs w:val="18"/>
              </w:rPr>
              <w:t xml:space="preserve">Groupama, </w:t>
            </w:r>
          </w:p>
          <w:p w:rsidR="00DB4EBD" w:rsidRPr="0008292A" w:rsidRDefault="00DB4EBD" w:rsidP="00CE6EEF">
            <w:pPr>
              <w:pStyle w:val="Paragraphedeliste"/>
              <w:ind w:left="0"/>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8"/>
                <w:szCs w:val="18"/>
              </w:rPr>
            </w:pPr>
            <w:r w:rsidRPr="0008292A">
              <w:rPr>
                <w:color w:val="262626" w:themeColor="text1" w:themeTint="D9"/>
                <w:sz w:val="18"/>
                <w:szCs w:val="18"/>
              </w:rPr>
              <w:t>Pro BTP</w:t>
            </w:r>
          </w:p>
        </w:tc>
        <w:tc>
          <w:tcPr>
            <w:tcW w:w="1275" w:type="dxa"/>
            <w:tcBorders>
              <w:top w:val="single" w:sz="4" w:space="0" w:color="BFBFBF" w:themeColor="background1" w:themeShade="BF"/>
              <w:bottom w:val="single" w:sz="4" w:space="0" w:color="BFBFBF" w:themeColor="background1" w:themeShade="BF"/>
            </w:tcBorders>
            <w:shd w:val="clear" w:color="auto" w:fill="auto"/>
            <w:vAlign w:val="center"/>
          </w:tcPr>
          <w:p w:rsidR="00DB4EBD" w:rsidRPr="0008292A" w:rsidRDefault="00DB4EBD" w:rsidP="00CE6EEF">
            <w:pPr>
              <w:pStyle w:val="Paragraphedeliste"/>
              <w:ind w:left="0"/>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8"/>
                <w:szCs w:val="18"/>
              </w:rPr>
            </w:pPr>
            <w:r w:rsidRPr="0008292A">
              <w:rPr>
                <w:color w:val="262626" w:themeColor="text1" w:themeTint="D9"/>
                <w:sz w:val="18"/>
                <w:szCs w:val="18"/>
              </w:rPr>
              <w:t>6</w:t>
            </w:r>
          </w:p>
        </w:tc>
        <w:tc>
          <w:tcPr>
            <w:tcW w:w="2127" w:type="dxa"/>
            <w:tcBorders>
              <w:top w:val="single" w:sz="4" w:space="0" w:color="BFBFBF" w:themeColor="background1" w:themeShade="BF"/>
              <w:bottom w:val="single" w:sz="4" w:space="0" w:color="BFBFBF" w:themeColor="background1" w:themeShade="BF"/>
            </w:tcBorders>
            <w:shd w:val="clear" w:color="auto" w:fill="auto"/>
            <w:vAlign w:val="center"/>
          </w:tcPr>
          <w:p w:rsidR="00DB4EBD" w:rsidRPr="0008292A" w:rsidRDefault="00DB4EBD" w:rsidP="00CE6EEF">
            <w:pPr>
              <w:pStyle w:val="Paragraphedeliste"/>
              <w:ind w:left="0"/>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8"/>
                <w:szCs w:val="18"/>
              </w:rPr>
            </w:pPr>
            <w:r w:rsidRPr="0008292A">
              <w:rPr>
                <w:color w:val="262626" w:themeColor="text1" w:themeTint="D9"/>
                <w:sz w:val="18"/>
                <w:szCs w:val="18"/>
              </w:rPr>
              <w:t>Verres : 25% à 30%</w:t>
            </w:r>
          </w:p>
        </w:tc>
        <w:tc>
          <w:tcPr>
            <w:tcW w:w="1306" w:type="dxa"/>
            <w:tcBorders>
              <w:top w:val="single" w:sz="4" w:space="0" w:color="BFBFBF" w:themeColor="background1" w:themeShade="BF"/>
              <w:bottom w:val="single" w:sz="4" w:space="0" w:color="BFBFBF" w:themeColor="background1" w:themeShade="BF"/>
            </w:tcBorders>
            <w:shd w:val="clear" w:color="auto" w:fill="auto"/>
            <w:vAlign w:val="center"/>
          </w:tcPr>
          <w:p w:rsidR="00DB4EBD" w:rsidRPr="0008292A" w:rsidRDefault="00DB4EBD" w:rsidP="00CE6EEF">
            <w:pPr>
              <w:pStyle w:val="Paragraphedeliste"/>
              <w:ind w:left="0"/>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8"/>
                <w:szCs w:val="18"/>
              </w:rPr>
            </w:pPr>
            <w:r w:rsidRPr="0008292A">
              <w:rPr>
                <w:color w:val="262626" w:themeColor="text1" w:themeTint="D9"/>
                <w:sz w:val="18"/>
                <w:szCs w:val="18"/>
              </w:rPr>
              <w:t>Prix moyen de marché</w:t>
            </w:r>
          </w:p>
        </w:tc>
        <w:tc>
          <w:tcPr>
            <w:tcW w:w="1634" w:type="dxa"/>
            <w:tcBorders>
              <w:top w:val="single" w:sz="4" w:space="0" w:color="BFBFBF" w:themeColor="background1" w:themeShade="BF"/>
              <w:bottom w:val="single" w:sz="4" w:space="0" w:color="BFBFBF" w:themeColor="background1" w:themeShade="BF"/>
            </w:tcBorders>
            <w:shd w:val="clear" w:color="auto" w:fill="auto"/>
            <w:vAlign w:val="center"/>
          </w:tcPr>
          <w:p w:rsidR="00DB4EBD" w:rsidRPr="0008292A" w:rsidRDefault="00DB4EBD" w:rsidP="00CE6EEF">
            <w:pPr>
              <w:pStyle w:val="Paragraphedeliste"/>
              <w:ind w:left="0"/>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8"/>
                <w:szCs w:val="18"/>
              </w:rPr>
            </w:pPr>
            <w:r w:rsidRPr="0008292A">
              <w:rPr>
                <w:color w:val="262626" w:themeColor="text1" w:themeTint="D9"/>
                <w:sz w:val="18"/>
                <w:szCs w:val="18"/>
              </w:rPr>
              <w:t>Prévu fin 2012</w:t>
            </w:r>
          </w:p>
        </w:tc>
      </w:tr>
      <w:tr w:rsidR="00DB4EBD" w:rsidRPr="0008292A" w:rsidTr="00796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BFBFBF" w:themeColor="background1" w:themeShade="BF"/>
              <w:bottom w:val="single" w:sz="4" w:space="0" w:color="BFBFBF" w:themeColor="background1" w:themeShade="BF"/>
            </w:tcBorders>
            <w:shd w:val="clear" w:color="auto" w:fill="auto"/>
            <w:vAlign w:val="center"/>
          </w:tcPr>
          <w:p w:rsidR="00DB4EBD" w:rsidRPr="0008292A" w:rsidRDefault="00DB4EBD" w:rsidP="00CE6EEF">
            <w:pPr>
              <w:pStyle w:val="Paragraphedeliste"/>
              <w:ind w:left="0"/>
              <w:jc w:val="center"/>
              <w:rPr>
                <w:color w:val="262626" w:themeColor="text1" w:themeTint="D9"/>
                <w:sz w:val="18"/>
                <w:szCs w:val="18"/>
              </w:rPr>
            </w:pPr>
            <w:r w:rsidRPr="0008292A">
              <w:rPr>
                <w:color w:val="262626" w:themeColor="text1" w:themeTint="D9"/>
                <w:sz w:val="18"/>
                <w:szCs w:val="18"/>
              </w:rPr>
              <w:t>Carrés Bleus</w:t>
            </w:r>
          </w:p>
        </w:tc>
        <w:tc>
          <w:tcPr>
            <w:tcW w:w="1985" w:type="dxa"/>
            <w:tcBorders>
              <w:top w:val="single" w:sz="4" w:space="0" w:color="BFBFBF" w:themeColor="background1" w:themeShade="BF"/>
              <w:bottom w:val="single" w:sz="4" w:space="0" w:color="BFBFBF" w:themeColor="background1" w:themeShade="BF"/>
            </w:tcBorders>
            <w:shd w:val="clear" w:color="auto" w:fill="auto"/>
            <w:vAlign w:val="center"/>
          </w:tcPr>
          <w:p w:rsidR="00DB4EBD" w:rsidRPr="0008292A" w:rsidRDefault="00DB4EBD" w:rsidP="00CE6EEF">
            <w:pPr>
              <w:pStyle w:val="Paragraphedeliste"/>
              <w:ind w:left="0"/>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8"/>
                <w:szCs w:val="18"/>
              </w:rPr>
            </w:pPr>
            <w:proofErr w:type="spellStart"/>
            <w:r w:rsidRPr="0008292A">
              <w:rPr>
                <w:color w:val="262626" w:themeColor="text1" w:themeTint="D9"/>
                <w:sz w:val="18"/>
                <w:szCs w:val="18"/>
              </w:rPr>
              <w:t>Matmut</w:t>
            </w:r>
            <w:proofErr w:type="spellEnd"/>
          </w:p>
        </w:tc>
        <w:tc>
          <w:tcPr>
            <w:tcW w:w="1275" w:type="dxa"/>
            <w:tcBorders>
              <w:top w:val="single" w:sz="4" w:space="0" w:color="BFBFBF" w:themeColor="background1" w:themeShade="BF"/>
              <w:bottom w:val="single" w:sz="4" w:space="0" w:color="BFBFBF" w:themeColor="background1" w:themeShade="BF"/>
            </w:tcBorders>
            <w:shd w:val="clear" w:color="auto" w:fill="auto"/>
            <w:vAlign w:val="center"/>
          </w:tcPr>
          <w:p w:rsidR="00DB4EBD" w:rsidRPr="0008292A" w:rsidRDefault="00DB4EBD" w:rsidP="00CE6EEF">
            <w:pPr>
              <w:pStyle w:val="Paragraphedeliste"/>
              <w:ind w:left="0"/>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8"/>
                <w:szCs w:val="18"/>
              </w:rPr>
            </w:pPr>
            <w:r w:rsidRPr="0008292A">
              <w:rPr>
                <w:color w:val="262626" w:themeColor="text1" w:themeTint="D9"/>
                <w:sz w:val="18"/>
                <w:szCs w:val="18"/>
              </w:rPr>
              <w:t>5</w:t>
            </w:r>
          </w:p>
        </w:tc>
        <w:tc>
          <w:tcPr>
            <w:tcW w:w="2127" w:type="dxa"/>
            <w:tcBorders>
              <w:top w:val="single" w:sz="4" w:space="0" w:color="BFBFBF" w:themeColor="background1" w:themeShade="BF"/>
              <w:bottom w:val="single" w:sz="4" w:space="0" w:color="BFBFBF" w:themeColor="background1" w:themeShade="BF"/>
            </w:tcBorders>
            <w:shd w:val="clear" w:color="auto" w:fill="auto"/>
            <w:vAlign w:val="center"/>
          </w:tcPr>
          <w:p w:rsidR="00DB4EBD" w:rsidRPr="0008292A" w:rsidRDefault="00DB4EBD" w:rsidP="00CE6EEF">
            <w:pPr>
              <w:pStyle w:val="Paragraphedeliste"/>
              <w:ind w:left="0"/>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8"/>
                <w:szCs w:val="18"/>
              </w:rPr>
            </w:pPr>
            <w:r w:rsidRPr="0008292A">
              <w:rPr>
                <w:color w:val="262626" w:themeColor="text1" w:themeTint="D9"/>
                <w:sz w:val="18"/>
                <w:szCs w:val="18"/>
              </w:rPr>
              <w:t>Verres adultes : 27%</w:t>
            </w:r>
          </w:p>
          <w:p w:rsidR="00DB4EBD" w:rsidRPr="0008292A" w:rsidRDefault="00DB4EBD" w:rsidP="00CE6EEF">
            <w:pPr>
              <w:pStyle w:val="Paragraphedeliste"/>
              <w:ind w:left="0"/>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8"/>
                <w:szCs w:val="18"/>
              </w:rPr>
            </w:pPr>
            <w:r w:rsidRPr="0008292A">
              <w:rPr>
                <w:color w:val="262626" w:themeColor="text1" w:themeTint="D9"/>
                <w:sz w:val="18"/>
                <w:szCs w:val="18"/>
              </w:rPr>
              <w:t xml:space="preserve">Equipement enfant : 45% </w:t>
            </w:r>
          </w:p>
        </w:tc>
        <w:tc>
          <w:tcPr>
            <w:tcW w:w="1306" w:type="dxa"/>
            <w:tcBorders>
              <w:top w:val="single" w:sz="4" w:space="0" w:color="BFBFBF" w:themeColor="background1" w:themeShade="BF"/>
              <w:bottom w:val="single" w:sz="4" w:space="0" w:color="BFBFBF" w:themeColor="background1" w:themeShade="BF"/>
            </w:tcBorders>
            <w:shd w:val="clear" w:color="auto" w:fill="auto"/>
            <w:vAlign w:val="center"/>
          </w:tcPr>
          <w:p w:rsidR="00DB4EBD" w:rsidRPr="0008292A" w:rsidRDefault="00DB4EBD" w:rsidP="00CE6EEF">
            <w:pPr>
              <w:pStyle w:val="Paragraphedeliste"/>
              <w:ind w:left="0"/>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8"/>
                <w:szCs w:val="18"/>
              </w:rPr>
            </w:pPr>
            <w:r w:rsidRPr="0008292A">
              <w:rPr>
                <w:rFonts w:ascii="Verdana" w:hAnsi="Verdana" w:cs="Verdana"/>
                <w:color w:val="262626" w:themeColor="text1" w:themeTint="D9"/>
                <w:sz w:val="18"/>
                <w:szCs w:val="18"/>
              </w:rPr>
              <w:t>ø</w:t>
            </w:r>
          </w:p>
        </w:tc>
        <w:tc>
          <w:tcPr>
            <w:tcW w:w="1634" w:type="dxa"/>
            <w:tcBorders>
              <w:top w:val="single" w:sz="4" w:space="0" w:color="BFBFBF" w:themeColor="background1" w:themeShade="BF"/>
              <w:bottom w:val="single" w:sz="4" w:space="0" w:color="BFBFBF" w:themeColor="background1" w:themeShade="BF"/>
            </w:tcBorders>
            <w:shd w:val="clear" w:color="auto" w:fill="auto"/>
            <w:vAlign w:val="center"/>
          </w:tcPr>
          <w:p w:rsidR="00DB4EBD" w:rsidRPr="0008292A" w:rsidRDefault="00DB4EBD" w:rsidP="00CE6EEF">
            <w:pPr>
              <w:pStyle w:val="Paragraphedeliste"/>
              <w:ind w:left="0"/>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8"/>
                <w:szCs w:val="18"/>
              </w:rPr>
            </w:pPr>
            <w:r w:rsidRPr="0008292A">
              <w:rPr>
                <w:rFonts w:ascii="Verdana" w:hAnsi="Verdana" w:cs="Verdana"/>
                <w:color w:val="262626" w:themeColor="text1" w:themeTint="D9"/>
                <w:sz w:val="18"/>
                <w:szCs w:val="18"/>
              </w:rPr>
              <w:t>ø</w:t>
            </w:r>
          </w:p>
        </w:tc>
      </w:tr>
      <w:tr w:rsidR="00DB4EBD" w:rsidRPr="0008292A" w:rsidTr="00796B89">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BFBFBF" w:themeColor="background1" w:themeShade="BF"/>
              <w:bottom w:val="single" w:sz="4" w:space="0" w:color="BFBFBF" w:themeColor="background1" w:themeShade="BF"/>
            </w:tcBorders>
            <w:shd w:val="clear" w:color="auto" w:fill="auto"/>
            <w:vAlign w:val="center"/>
          </w:tcPr>
          <w:p w:rsidR="00DB4EBD" w:rsidRPr="0008292A" w:rsidRDefault="00DB4EBD" w:rsidP="00CE6EEF">
            <w:pPr>
              <w:pStyle w:val="Paragraphedeliste"/>
              <w:ind w:left="0"/>
              <w:jc w:val="center"/>
              <w:rPr>
                <w:color w:val="262626" w:themeColor="text1" w:themeTint="D9"/>
                <w:sz w:val="18"/>
                <w:szCs w:val="18"/>
              </w:rPr>
            </w:pPr>
            <w:r w:rsidRPr="0008292A">
              <w:rPr>
                <w:color w:val="262626" w:themeColor="text1" w:themeTint="D9"/>
                <w:sz w:val="18"/>
                <w:szCs w:val="18"/>
              </w:rPr>
              <w:t>MGEN</w:t>
            </w:r>
          </w:p>
        </w:tc>
        <w:tc>
          <w:tcPr>
            <w:tcW w:w="1985" w:type="dxa"/>
            <w:tcBorders>
              <w:top w:val="single" w:sz="4" w:space="0" w:color="BFBFBF" w:themeColor="background1" w:themeShade="BF"/>
              <w:bottom w:val="single" w:sz="4" w:space="0" w:color="BFBFBF" w:themeColor="background1" w:themeShade="BF"/>
            </w:tcBorders>
            <w:shd w:val="clear" w:color="auto" w:fill="auto"/>
            <w:vAlign w:val="center"/>
          </w:tcPr>
          <w:p w:rsidR="00DB4EBD" w:rsidRPr="0008292A" w:rsidRDefault="00DB4EBD" w:rsidP="00CE6EEF">
            <w:pPr>
              <w:pStyle w:val="Paragraphedeliste"/>
              <w:ind w:left="0"/>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8"/>
                <w:szCs w:val="18"/>
              </w:rPr>
            </w:pPr>
            <w:r w:rsidRPr="0008292A">
              <w:rPr>
                <w:color w:val="262626" w:themeColor="text1" w:themeTint="D9"/>
                <w:sz w:val="18"/>
                <w:szCs w:val="18"/>
              </w:rPr>
              <w:t>MGEN, MAIF</w:t>
            </w:r>
          </w:p>
        </w:tc>
        <w:tc>
          <w:tcPr>
            <w:tcW w:w="1275" w:type="dxa"/>
            <w:tcBorders>
              <w:top w:val="single" w:sz="4" w:space="0" w:color="BFBFBF" w:themeColor="background1" w:themeShade="BF"/>
              <w:bottom w:val="single" w:sz="4" w:space="0" w:color="BFBFBF" w:themeColor="background1" w:themeShade="BF"/>
            </w:tcBorders>
            <w:shd w:val="clear" w:color="auto" w:fill="auto"/>
            <w:vAlign w:val="center"/>
          </w:tcPr>
          <w:p w:rsidR="00DB4EBD" w:rsidRPr="0008292A" w:rsidRDefault="00DB4EBD" w:rsidP="00CE6EEF">
            <w:pPr>
              <w:pStyle w:val="Paragraphedeliste"/>
              <w:ind w:left="0"/>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8"/>
                <w:szCs w:val="18"/>
              </w:rPr>
            </w:pPr>
            <w:r w:rsidRPr="0008292A">
              <w:rPr>
                <w:color w:val="262626" w:themeColor="text1" w:themeTint="D9"/>
                <w:sz w:val="18"/>
                <w:szCs w:val="18"/>
              </w:rPr>
              <w:t>3</w:t>
            </w:r>
          </w:p>
        </w:tc>
        <w:tc>
          <w:tcPr>
            <w:tcW w:w="2127" w:type="dxa"/>
            <w:tcBorders>
              <w:top w:val="single" w:sz="4" w:space="0" w:color="BFBFBF" w:themeColor="background1" w:themeShade="BF"/>
              <w:bottom w:val="single" w:sz="4" w:space="0" w:color="BFBFBF" w:themeColor="background1" w:themeShade="BF"/>
            </w:tcBorders>
            <w:shd w:val="clear" w:color="auto" w:fill="auto"/>
            <w:vAlign w:val="center"/>
          </w:tcPr>
          <w:p w:rsidR="00DB4EBD" w:rsidRPr="0008292A" w:rsidRDefault="00DB4EBD" w:rsidP="00CE6EEF">
            <w:pPr>
              <w:pStyle w:val="Paragraphedeliste"/>
              <w:ind w:left="0"/>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8"/>
                <w:szCs w:val="18"/>
              </w:rPr>
            </w:pPr>
            <w:r w:rsidRPr="0008292A">
              <w:rPr>
                <w:color w:val="262626" w:themeColor="text1" w:themeTint="D9"/>
                <w:sz w:val="18"/>
                <w:szCs w:val="18"/>
              </w:rPr>
              <w:t>Verres : 15 à 35%</w:t>
            </w:r>
          </w:p>
          <w:p w:rsidR="00DB4EBD" w:rsidRPr="0008292A" w:rsidRDefault="00DB4EBD" w:rsidP="00CE6EEF">
            <w:pPr>
              <w:pStyle w:val="Paragraphedeliste"/>
              <w:ind w:left="0"/>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8"/>
                <w:szCs w:val="18"/>
              </w:rPr>
            </w:pPr>
            <w:r w:rsidRPr="0008292A">
              <w:rPr>
                <w:color w:val="262626" w:themeColor="text1" w:themeTint="D9"/>
                <w:sz w:val="18"/>
                <w:szCs w:val="18"/>
              </w:rPr>
              <w:t>Montures : 5% minimum</w:t>
            </w:r>
          </w:p>
        </w:tc>
        <w:tc>
          <w:tcPr>
            <w:tcW w:w="1306" w:type="dxa"/>
            <w:tcBorders>
              <w:top w:val="single" w:sz="4" w:space="0" w:color="BFBFBF" w:themeColor="background1" w:themeShade="BF"/>
              <w:bottom w:val="single" w:sz="4" w:space="0" w:color="BFBFBF" w:themeColor="background1" w:themeShade="BF"/>
            </w:tcBorders>
            <w:shd w:val="clear" w:color="auto" w:fill="auto"/>
            <w:vAlign w:val="center"/>
          </w:tcPr>
          <w:p w:rsidR="00DB4EBD" w:rsidRPr="0008292A" w:rsidRDefault="00DB4EBD" w:rsidP="00CE6EEF">
            <w:pPr>
              <w:pStyle w:val="Paragraphedeliste"/>
              <w:ind w:left="0"/>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8"/>
                <w:szCs w:val="18"/>
              </w:rPr>
            </w:pPr>
            <w:r w:rsidRPr="0008292A">
              <w:rPr>
                <w:color w:val="262626" w:themeColor="text1" w:themeTint="D9"/>
                <w:sz w:val="18"/>
                <w:szCs w:val="18"/>
              </w:rPr>
              <w:t>40%</w:t>
            </w:r>
          </w:p>
        </w:tc>
        <w:tc>
          <w:tcPr>
            <w:tcW w:w="1634" w:type="dxa"/>
            <w:tcBorders>
              <w:top w:val="single" w:sz="4" w:space="0" w:color="BFBFBF" w:themeColor="background1" w:themeShade="BF"/>
              <w:bottom w:val="single" w:sz="4" w:space="0" w:color="BFBFBF" w:themeColor="background1" w:themeShade="BF"/>
            </w:tcBorders>
            <w:shd w:val="clear" w:color="auto" w:fill="auto"/>
            <w:vAlign w:val="center"/>
          </w:tcPr>
          <w:p w:rsidR="00DB4EBD" w:rsidRPr="0008292A" w:rsidRDefault="00DB4EBD" w:rsidP="00CE6EEF">
            <w:pPr>
              <w:pStyle w:val="Paragraphedeliste"/>
              <w:ind w:left="0"/>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8"/>
                <w:szCs w:val="18"/>
              </w:rPr>
            </w:pPr>
            <w:r w:rsidRPr="0008292A">
              <w:rPr>
                <w:color w:val="262626" w:themeColor="text1" w:themeTint="D9"/>
                <w:sz w:val="18"/>
                <w:szCs w:val="18"/>
              </w:rPr>
              <w:t xml:space="preserve">Prévu </w:t>
            </w:r>
            <w:r w:rsidR="00796B89">
              <w:rPr>
                <w:color w:val="262626" w:themeColor="text1" w:themeTint="D9"/>
                <w:sz w:val="18"/>
                <w:szCs w:val="18"/>
              </w:rPr>
              <w:t xml:space="preserve">en </w:t>
            </w:r>
            <w:r w:rsidRPr="0008292A">
              <w:rPr>
                <w:color w:val="262626" w:themeColor="text1" w:themeTint="D9"/>
                <w:sz w:val="18"/>
                <w:szCs w:val="18"/>
              </w:rPr>
              <w:t>2013</w:t>
            </w:r>
          </w:p>
        </w:tc>
      </w:tr>
      <w:tr w:rsidR="00DB4EBD" w:rsidRPr="0008292A" w:rsidTr="00796B89">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BFBFBF" w:themeColor="background1" w:themeShade="BF"/>
              <w:bottom w:val="single" w:sz="4" w:space="0" w:color="BFBFBF" w:themeColor="background1" w:themeShade="BF"/>
            </w:tcBorders>
            <w:shd w:val="clear" w:color="auto" w:fill="auto"/>
            <w:vAlign w:val="center"/>
          </w:tcPr>
          <w:p w:rsidR="00DB4EBD" w:rsidRPr="0008292A" w:rsidRDefault="00DB4EBD" w:rsidP="00CE6EEF">
            <w:pPr>
              <w:pStyle w:val="Paragraphedeliste"/>
              <w:ind w:left="0"/>
              <w:jc w:val="center"/>
              <w:rPr>
                <w:color w:val="262626" w:themeColor="text1" w:themeTint="D9"/>
                <w:sz w:val="18"/>
                <w:szCs w:val="18"/>
              </w:rPr>
            </w:pPr>
            <w:proofErr w:type="spellStart"/>
            <w:r w:rsidRPr="0008292A">
              <w:rPr>
                <w:color w:val="262626" w:themeColor="text1" w:themeTint="D9"/>
                <w:sz w:val="18"/>
                <w:szCs w:val="18"/>
              </w:rPr>
              <w:t>itelis</w:t>
            </w:r>
            <w:proofErr w:type="spellEnd"/>
          </w:p>
        </w:tc>
        <w:tc>
          <w:tcPr>
            <w:tcW w:w="1985" w:type="dxa"/>
            <w:tcBorders>
              <w:top w:val="single" w:sz="4" w:space="0" w:color="BFBFBF" w:themeColor="background1" w:themeShade="BF"/>
              <w:bottom w:val="single" w:sz="4" w:space="0" w:color="BFBFBF" w:themeColor="background1" w:themeShade="BF"/>
            </w:tcBorders>
            <w:shd w:val="clear" w:color="auto" w:fill="auto"/>
            <w:vAlign w:val="center"/>
          </w:tcPr>
          <w:p w:rsidR="00DB4EBD" w:rsidRPr="0008292A" w:rsidRDefault="00796B89" w:rsidP="00CE6EEF">
            <w:pPr>
              <w:pStyle w:val="Paragraphedeliste"/>
              <w:ind w:left="0"/>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8"/>
                <w:szCs w:val="18"/>
              </w:rPr>
            </w:pPr>
            <w:r>
              <w:rPr>
                <w:color w:val="262626" w:themeColor="text1" w:themeTint="D9"/>
                <w:sz w:val="18"/>
                <w:szCs w:val="18"/>
              </w:rPr>
              <w:t xml:space="preserve">Axa, </w:t>
            </w:r>
            <w:proofErr w:type="spellStart"/>
            <w:r w:rsidR="00DB4EBD" w:rsidRPr="0008292A">
              <w:rPr>
                <w:color w:val="262626" w:themeColor="text1" w:themeTint="D9"/>
                <w:sz w:val="18"/>
                <w:szCs w:val="18"/>
              </w:rPr>
              <w:t>Axeria</w:t>
            </w:r>
            <w:proofErr w:type="spellEnd"/>
            <w:r w:rsidR="00DB4EBD" w:rsidRPr="0008292A">
              <w:rPr>
                <w:color w:val="262626" w:themeColor="text1" w:themeTint="D9"/>
                <w:sz w:val="18"/>
                <w:szCs w:val="18"/>
              </w:rPr>
              <w:t>, Mutuelle Mieux-être</w:t>
            </w:r>
          </w:p>
        </w:tc>
        <w:tc>
          <w:tcPr>
            <w:tcW w:w="1275" w:type="dxa"/>
            <w:tcBorders>
              <w:top w:val="single" w:sz="4" w:space="0" w:color="BFBFBF" w:themeColor="background1" w:themeShade="BF"/>
              <w:bottom w:val="single" w:sz="4" w:space="0" w:color="BFBFBF" w:themeColor="background1" w:themeShade="BF"/>
            </w:tcBorders>
            <w:shd w:val="clear" w:color="auto" w:fill="auto"/>
            <w:vAlign w:val="center"/>
          </w:tcPr>
          <w:p w:rsidR="00DB4EBD" w:rsidRPr="0008292A" w:rsidRDefault="00DB4EBD" w:rsidP="00CE6EEF">
            <w:pPr>
              <w:pStyle w:val="Paragraphedeliste"/>
              <w:ind w:left="0"/>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8"/>
                <w:szCs w:val="18"/>
              </w:rPr>
            </w:pPr>
            <w:r w:rsidRPr="0008292A">
              <w:rPr>
                <w:color w:val="262626" w:themeColor="text1" w:themeTint="D9"/>
                <w:sz w:val="18"/>
                <w:szCs w:val="18"/>
              </w:rPr>
              <w:t>3</w:t>
            </w:r>
          </w:p>
        </w:tc>
        <w:tc>
          <w:tcPr>
            <w:tcW w:w="2127" w:type="dxa"/>
            <w:tcBorders>
              <w:top w:val="single" w:sz="4" w:space="0" w:color="BFBFBF" w:themeColor="background1" w:themeShade="BF"/>
              <w:bottom w:val="single" w:sz="4" w:space="0" w:color="BFBFBF" w:themeColor="background1" w:themeShade="BF"/>
            </w:tcBorders>
            <w:shd w:val="clear" w:color="auto" w:fill="auto"/>
            <w:vAlign w:val="center"/>
          </w:tcPr>
          <w:p w:rsidR="00DB4EBD" w:rsidRPr="0008292A" w:rsidRDefault="00DB4EBD" w:rsidP="00CE6EEF">
            <w:pPr>
              <w:pStyle w:val="Paragraphedeliste"/>
              <w:ind w:left="0"/>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8"/>
                <w:szCs w:val="18"/>
              </w:rPr>
            </w:pPr>
            <w:r w:rsidRPr="0008292A">
              <w:rPr>
                <w:color w:val="262626" w:themeColor="text1" w:themeTint="D9"/>
                <w:sz w:val="18"/>
                <w:szCs w:val="18"/>
              </w:rPr>
              <w:t>29%</w:t>
            </w:r>
          </w:p>
        </w:tc>
        <w:tc>
          <w:tcPr>
            <w:tcW w:w="1306" w:type="dxa"/>
            <w:tcBorders>
              <w:top w:val="single" w:sz="4" w:space="0" w:color="BFBFBF" w:themeColor="background1" w:themeShade="BF"/>
              <w:bottom w:val="single" w:sz="4" w:space="0" w:color="BFBFBF" w:themeColor="background1" w:themeShade="BF"/>
            </w:tcBorders>
            <w:shd w:val="clear" w:color="auto" w:fill="auto"/>
            <w:vAlign w:val="center"/>
          </w:tcPr>
          <w:p w:rsidR="00DB4EBD" w:rsidRPr="0008292A" w:rsidRDefault="00DB4EBD" w:rsidP="00CE6EEF">
            <w:pPr>
              <w:pStyle w:val="Paragraphedeliste"/>
              <w:ind w:left="0"/>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8"/>
                <w:szCs w:val="18"/>
              </w:rPr>
            </w:pPr>
            <w:r w:rsidRPr="0008292A">
              <w:rPr>
                <w:color w:val="262626" w:themeColor="text1" w:themeTint="D9"/>
                <w:sz w:val="18"/>
                <w:szCs w:val="18"/>
              </w:rPr>
              <w:t>10%</w:t>
            </w:r>
          </w:p>
        </w:tc>
        <w:tc>
          <w:tcPr>
            <w:tcW w:w="1634" w:type="dxa"/>
            <w:tcBorders>
              <w:top w:val="single" w:sz="4" w:space="0" w:color="BFBFBF" w:themeColor="background1" w:themeShade="BF"/>
              <w:bottom w:val="single" w:sz="4" w:space="0" w:color="BFBFBF" w:themeColor="background1" w:themeShade="BF"/>
            </w:tcBorders>
            <w:shd w:val="clear" w:color="auto" w:fill="auto"/>
            <w:vAlign w:val="center"/>
          </w:tcPr>
          <w:p w:rsidR="00DB4EBD" w:rsidRPr="0008292A" w:rsidRDefault="00DB4EBD" w:rsidP="00CE6EEF">
            <w:pPr>
              <w:pStyle w:val="Paragraphedeliste"/>
              <w:ind w:left="0"/>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8"/>
                <w:szCs w:val="18"/>
              </w:rPr>
            </w:pPr>
            <w:r w:rsidRPr="0008292A">
              <w:rPr>
                <w:color w:val="262626" w:themeColor="text1" w:themeTint="D9"/>
                <w:sz w:val="18"/>
                <w:szCs w:val="18"/>
              </w:rPr>
              <w:t>8 à 25%</w:t>
            </w:r>
          </w:p>
        </w:tc>
      </w:tr>
      <w:tr w:rsidR="00DB4EBD" w:rsidRPr="0008292A" w:rsidTr="00796B89">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BFBFBF" w:themeColor="background1" w:themeShade="BF"/>
              <w:bottom w:val="single" w:sz="4" w:space="0" w:color="BFBFBF" w:themeColor="background1" w:themeShade="BF"/>
            </w:tcBorders>
            <w:shd w:val="clear" w:color="auto" w:fill="auto"/>
            <w:vAlign w:val="center"/>
          </w:tcPr>
          <w:p w:rsidR="00DB4EBD" w:rsidRPr="0008292A" w:rsidRDefault="00DB4EBD" w:rsidP="00CE6EEF">
            <w:pPr>
              <w:pStyle w:val="Paragraphedeliste"/>
              <w:ind w:left="0"/>
              <w:jc w:val="center"/>
              <w:rPr>
                <w:color w:val="262626" w:themeColor="text1" w:themeTint="D9"/>
                <w:sz w:val="18"/>
                <w:szCs w:val="18"/>
              </w:rPr>
            </w:pPr>
            <w:r w:rsidRPr="0008292A">
              <w:rPr>
                <w:color w:val="262626" w:themeColor="text1" w:themeTint="D9"/>
                <w:sz w:val="18"/>
                <w:szCs w:val="18"/>
              </w:rPr>
              <w:t>Carte Blanche</w:t>
            </w:r>
          </w:p>
        </w:tc>
        <w:tc>
          <w:tcPr>
            <w:tcW w:w="1985" w:type="dxa"/>
            <w:tcBorders>
              <w:top w:val="single" w:sz="4" w:space="0" w:color="BFBFBF" w:themeColor="background1" w:themeShade="BF"/>
              <w:bottom w:val="single" w:sz="4" w:space="0" w:color="BFBFBF" w:themeColor="background1" w:themeShade="BF"/>
            </w:tcBorders>
            <w:shd w:val="clear" w:color="auto" w:fill="auto"/>
            <w:vAlign w:val="center"/>
          </w:tcPr>
          <w:p w:rsidR="00DB4EBD" w:rsidRPr="0008292A" w:rsidRDefault="00DB4EBD" w:rsidP="00CE6EEF">
            <w:pPr>
              <w:pStyle w:val="Paragraphedeliste"/>
              <w:ind w:left="0"/>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8"/>
                <w:szCs w:val="18"/>
              </w:rPr>
            </w:pPr>
            <w:proofErr w:type="spellStart"/>
            <w:r w:rsidRPr="0008292A">
              <w:rPr>
                <w:color w:val="262626" w:themeColor="text1" w:themeTint="D9"/>
                <w:sz w:val="18"/>
                <w:szCs w:val="18"/>
              </w:rPr>
              <w:t>Swiss</w:t>
            </w:r>
            <w:proofErr w:type="spellEnd"/>
            <w:r w:rsidRPr="0008292A">
              <w:rPr>
                <w:color w:val="262626" w:themeColor="text1" w:themeTint="D9"/>
                <w:sz w:val="18"/>
                <w:szCs w:val="18"/>
              </w:rPr>
              <w:t xml:space="preserve"> life, GMC, </w:t>
            </w:r>
            <w:proofErr w:type="spellStart"/>
            <w:r w:rsidRPr="0008292A">
              <w:rPr>
                <w:color w:val="262626" w:themeColor="text1" w:themeTint="D9"/>
                <w:sz w:val="18"/>
                <w:szCs w:val="18"/>
              </w:rPr>
              <w:t>Cegema</w:t>
            </w:r>
            <w:proofErr w:type="spellEnd"/>
            <w:r w:rsidRPr="0008292A">
              <w:rPr>
                <w:color w:val="262626" w:themeColor="text1" w:themeTint="D9"/>
                <w:sz w:val="18"/>
                <w:szCs w:val="18"/>
              </w:rPr>
              <w:t xml:space="preserve">, </w:t>
            </w:r>
            <w:proofErr w:type="spellStart"/>
            <w:r w:rsidRPr="0008292A">
              <w:rPr>
                <w:color w:val="262626" w:themeColor="text1" w:themeTint="D9"/>
                <w:sz w:val="18"/>
                <w:szCs w:val="18"/>
              </w:rPr>
              <w:t>Solly</w:t>
            </w:r>
            <w:proofErr w:type="spellEnd"/>
            <w:r w:rsidRPr="0008292A">
              <w:rPr>
                <w:color w:val="262626" w:themeColor="text1" w:themeTint="D9"/>
                <w:sz w:val="18"/>
                <w:szCs w:val="18"/>
              </w:rPr>
              <w:t xml:space="preserve"> </w:t>
            </w:r>
            <w:proofErr w:type="spellStart"/>
            <w:r w:rsidRPr="0008292A">
              <w:rPr>
                <w:color w:val="262626" w:themeColor="text1" w:themeTint="D9"/>
                <w:sz w:val="18"/>
                <w:szCs w:val="18"/>
              </w:rPr>
              <w:t>Azar</w:t>
            </w:r>
            <w:proofErr w:type="spellEnd"/>
            <w:r w:rsidRPr="0008292A">
              <w:rPr>
                <w:color w:val="262626" w:themeColor="text1" w:themeTint="D9"/>
                <w:sz w:val="18"/>
                <w:szCs w:val="18"/>
              </w:rPr>
              <w:t xml:space="preserve">, </w:t>
            </w:r>
            <w:proofErr w:type="spellStart"/>
            <w:r w:rsidRPr="0008292A">
              <w:rPr>
                <w:color w:val="262626" w:themeColor="text1" w:themeTint="D9"/>
                <w:sz w:val="18"/>
                <w:szCs w:val="18"/>
              </w:rPr>
              <w:t>Tranquilité</w:t>
            </w:r>
            <w:proofErr w:type="spellEnd"/>
            <w:r w:rsidRPr="0008292A">
              <w:rPr>
                <w:color w:val="262626" w:themeColor="text1" w:themeTint="D9"/>
                <w:sz w:val="18"/>
                <w:szCs w:val="18"/>
              </w:rPr>
              <w:t xml:space="preserve"> santé</w:t>
            </w:r>
          </w:p>
        </w:tc>
        <w:tc>
          <w:tcPr>
            <w:tcW w:w="1275" w:type="dxa"/>
            <w:tcBorders>
              <w:top w:val="single" w:sz="4" w:space="0" w:color="BFBFBF" w:themeColor="background1" w:themeShade="BF"/>
              <w:bottom w:val="single" w:sz="4" w:space="0" w:color="BFBFBF" w:themeColor="background1" w:themeShade="BF"/>
            </w:tcBorders>
            <w:shd w:val="clear" w:color="auto" w:fill="auto"/>
            <w:vAlign w:val="center"/>
          </w:tcPr>
          <w:p w:rsidR="00DB4EBD" w:rsidRPr="0008292A" w:rsidRDefault="00DB4EBD" w:rsidP="00CE6EEF">
            <w:pPr>
              <w:pStyle w:val="Paragraphedeliste"/>
              <w:ind w:left="0"/>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8"/>
                <w:szCs w:val="18"/>
              </w:rPr>
            </w:pPr>
            <w:r w:rsidRPr="0008292A">
              <w:rPr>
                <w:color w:val="262626" w:themeColor="text1" w:themeTint="D9"/>
                <w:sz w:val="18"/>
                <w:szCs w:val="18"/>
              </w:rPr>
              <w:t>2,5</w:t>
            </w:r>
          </w:p>
        </w:tc>
        <w:tc>
          <w:tcPr>
            <w:tcW w:w="2127" w:type="dxa"/>
            <w:tcBorders>
              <w:top w:val="single" w:sz="4" w:space="0" w:color="BFBFBF" w:themeColor="background1" w:themeShade="BF"/>
              <w:bottom w:val="single" w:sz="4" w:space="0" w:color="BFBFBF" w:themeColor="background1" w:themeShade="BF"/>
            </w:tcBorders>
            <w:shd w:val="clear" w:color="auto" w:fill="auto"/>
            <w:vAlign w:val="center"/>
          </w:tcPr>
          <w:p w:rsidR="00DB4EBD" w:rsidRPr="0008292A" w:rsidRDefault="00DB4EBD" w:rsidP="00CE6EEF">
            <w:pPr>
              <w:pStyle w:val="Paragraphedeliste"/>
              <w:ind w:left="0"/>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8"/>
                <w:szCs w:val="18"/>
              </w:rPr>
            </w:pPr>
            <w:r w:rsidRPr="0008292A">
              <w:rPr>
                <w:color w:val="262626" w:themeColor="text1" w:themeTint="D9"/>
                <w:sz w:val="18"/>
                <w:szCs w:val="18"/>
              </w:rPr>
              <w:t>Verres : 20 à 25%</w:t>
            </w:r>
          </w:p>
        </w:tc>
        <w:tc>
          <w:tcPr>
            <w:tcW w:w="1306" w:type="dxa"/>
            <w:tcBorders>
              <w:top w:val="single" w:sz="4" w:space="0" w:color="BFBFBF" w:themeColor="background1" w:themeShade="BF"/>
              <w:bottom w:val="single" w:sz="4" w:space="0" w:color="BFBFBF" w:themeColor="background1" w:themeShade="BF"/>
            </w:tcBorders>
            <w:shd w:val="clear" w:color="auto" w:fill="auto"/>
            <w:vAlign w:val="center"/>
          </w:tcPr>
          <w:p w:rsidR="00DB4EBD" w:rsidRPr="0008292A" w:rsidRDefault="00DB4EBD" w:rsidP="00CE6EEF">
            <w:pPr>
              <w:pStyle w:val="Paragraphedeliste"/>
              <w:ind w:left="0"/>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8"/>
                <w:szCs w:val="18"/>
              </w:rPr>
            </w:pPr>
            <w:r w:rsidRPr="0008292A">
              <w:rPr>
                <w:color w:val="262626" w:themeColor="text1" w:themeTint="D9"/>
                <w:sz w:val="18"/>
                <w:szCs w:val="18"/>
              </w:rPr>
              <w:t>10 à 20%</w:t>
            </w:r>
          </w:p>
        </w:tc>
        <w:tc>
          <w:tcPr>
            <w:tcW w:w="1634" w:type="dxa"/>
            <w:tcBorders>
              <w:top w:val="single" w:sz="4" w:space="0" w:color="BFBFBF" w:themeColor="background1" w:themeShade="BF"/>
              <w:bottom w:val="single" w:sz="4" w:space="0" w:color="BFBFBF" w:themeColor="background1" w:themeShade="BF"/>
            </w:tcBorders>
            <w:shd w:val="clear" w:color="auto" w:fill="auto"/>
            <w:vAlign w:val="center"/>
          </w:tcPr>
          <w:p w:rsidR="00DB4EBD" w:rsidRPr="0008292A" w:rsidRDefault="00DB4EBD" w:rsidP="00CE6EEF">
            <w:pPr>
              <w:pStyle w:val="Paragraphedeliste"/>
              <w:ind w:left="0"/>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8"/>
                <w:szCs w:val="18"/>
              </w:rPr>
            </w:pPr>
            <w:proofErr w:type="spellStart"/>
            <w:r w:rsidRPr="0008292A">
              <w:rPr>
                <w:color w:val="262626" w:themeColor="text1" w:themeTint="D9"/>
                <w:sz w:val="18"/>
                <w:szCs w:val="18"/>
              </w:rPr>
              <w:t>nc</w:t>
            </w:r>
            <w:proofErr w:type="spellEnd"/>
          </w:p>
        </w:tc>
      </w:tr>
      <w:tr w:rsidR="00DB4EBD" w:rsidRPr="0008292A" w:rsidTr="00796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BFBFBF" w:themeColor="background1" w:themeShade="BF"/>
              <w:bottom w:val="single" w:sz="4" w:space="0" w:color="262626" w:themeColor="text1" w:themeTint="D9"/>
            </w:tcBorders>
            <w:shd w:val="clear" w:color="auto" w:fill="auto"/>
            <w:vAlign w:val="center"/>
          </w:tcPr>
          <w:p w:rsidR="00DB4EBD" w:rsidRPr="0008292A" w:rsidRDefault="00DB4EBD" w:rsidP="00CE6EEF">
            <w:pPr>
              <w:pStyle w:val="Paragraphedeliste"/>
              <w:ind w:left="0"/>
              <w:jc w:val="center"/>
              <w:rPr>
                <w:color w:val="262626" w:themeColor="text1" w:themeTint="D9"/>
                <w:sz w:val="18"/>
                <w:szCs w:val="18"/>
              </w:rPr>
            </w:pPr>
            <w:proofErr w:type="spellStart"/>
            <w:r w:rsidRPr="0008292A">
              <w:rPr>
                <w:color w:val="262626" w:themeColor="text1" w:themeTint="D9"/>
                <w:sz w:val="18"/>
                <w:szCs w:val="18"/>
              </w:rPr>
              <w:t>Actil</w:t>
            </w:r>
            <w:proofErr w:type="spellEnd"/>
          </w:p>
        </w:tc>
        <w:tc>
          <w:tcPr>
            <w:tcW w:w="1985" w:type="dxa"/>
            <w:tcBorders>
              <w:top w:val="single" w:sz="4" w:space="0" w:color="BFBFBF" w:themeColor="background1" w:themeShade="BF"/>
              <w:bottom w:val="single" w:sz="4" w:space="0" w:color="262626" w:themeColor="text1" w:themeTint="D9"/>
            </w:tcBorders>
            <w:shd w:val="clear" w:color="auto" w:fill="auto"/>
            <w:vAlign w:val="center"/>
          </w:tcPr>
          <w:p w:rsidR="00DB4EBD" w:rsidRPr="0008292A" w:rsidRDefault="00DB4EBD" w:rsidP="00CE6EEF">
            <w:pPr>
              <w:pStyle w:val="Paragraphedeliste"/>
              <w:ind w:left="0"/>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8"/>
                <w:szCs w:val="18"/>
              </w:rPr>
            </w:pPr>
            <w:proofErr w:type="spellStart"/>
            <w:r w:rsidRPr="0008292A">
              <w:rPr>
                <w:color w:val="262626" w:themeColor="text1" w:themeTint="D9"/>
                <w:sz w:val="18"/>
                <w:szCs w:val="18"/>
              </w:rPr>
              <w:t>Apicil</w:t>
            </w:r>
            <w:proofErr w:type="spellEnd"/>
            <w:r w:rsidRPr="0008292A">
              <w:rPr>
                <w:color w:val="262626" w:themeColor="text1" w:themeTint="D9"/>
                <w:sz w:val="18"/>
                <w:szCs w:val="18"/>
              </w:rPr>
              <w:t xml:space="preserve">, Vauban </w:t>
            </w:r>
            <w:proofErr w:type="spellStart"/>
            <w:r w:rsidRPr="0008292A">
              <w:rPr>
                <w:color w:val="262626" w:themeColor="text1" w:themeTint="D9"/>
                <w:sz w:val="18"/>
                <w:szCs w:val="18"/>
              </w:rPr>
              <w:t>Humanis</w:t>
            </w:r>
            <w:proofErr w:type="spellEnd"/>
            <w:r w:rsidRPr="0008292A">
              <w:rPr>
                <w:color w:val="262626" w:themeColor="text1" w:themeTint="D9"/>
                <w:sz w:val="18"/>
                <w:szCs w:val="18"/>
              </w:rPr>
              <w:t xml:space="preserve">, </w:t>
            </w:r>
            <w:proofErr w:type="spellStart"/>
            <w:r w:rsidRPr="0008292A">
              <w:rPr>
                <w:color w:val="262626" w:themeColor="text1" w:themeTint="D9"/>
                <w:sz w:val="18"/>
                <w:szCs w:val="18"/>
              </w:rPr>
              <w:t>Alptis</w:t>
            </w:r>
            <w:proofErr w:type="spellEnd"/>
            <w:r w:rsidRPr="0008292A">
              <w:rPr>
                <w:color w:val="262626" w:themeColor="text1" w:themeTint="D9"/>
                <w:sz w:val="18"/>
                <w:szCs w:val="18"/>
              </w:rPr>
              <w:t xml:space="preserve">, GRM, </w:t>
            </w:r>
            <w:proofErr w:type="spellStart"/>
            <w:r w:rsidRPr="0008292A">
              <w:rPr>
                <w:color w:val="262626" w:themeColor="text1" w:themeTint="D9"/>
                <w:sz w:val="18"/>
                <w:szCs w:val="18"/>
              </w:rPr>
              <w:t>Inégrance</w:t>
            </w:r>
            <w:proofErr w:type="spellEnd"/>
          </w:p>
        </w:tc>
        <w:tc>
          <w:tcPr>
            <w:tcW w:w="1275" w:type="dxa"/>
            <w:tcBorders>
              <w:top w:val="single" w:sz="4" w:space="0" w:color="BFBFBF" w:themeColor="background1" w:themeShade="BF"/>
              <w:bottom w:val="single" w:sz="4" w:space="0" w:color="262626" w:themeColor="text1" w:themeTint="D9"/>
            </w:tcBorders>
            <w:shd w:val="clear" w:color="auto" w:fill="auto"/>
            <w:vAlign w:val="center"/>
          </w:tcPr>
          <w:p w:rsidR="00DB4EBD" w:rsidRPr="0008292A" w:rsidRDefault="00DB4EBD" w:rsidP="00CE6EEF">
            <w:pPr>
              <w:pStyle w:val="Paragraphedeliste"/>
              <w:ind w:left="0"/>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8"/>
                <w:szCs w:val="18"/>
              </w:rPr>
            </w:pPr>
            <w:r w:rsidRPr="0008292A">
              <w:rPr>
                <w:color w:val="262626" w:themeColor="text1" w:themeTint="D9"/>
                <w:sz w:val="18"/>
                <w:szCs w:val="18"/>
              </w:rPr>
              <w:t>1,5</w:t>
            </w:r>
          </w:p>
        </w:tc>
        <w:tc>
          <w:tcPr>
            <w:tcW w:w="2127" w:type="dxa"/>
            <w:tcBorders>
              <w:top w:val="single" w:sz="4" w:space="0" w:color="BFBFBF" w:themeColor="background1" w:themeShade="BF"/>
              <w:bottom w:val="single" w:sz="4" w:space="0" w:color="262626" w:themeColor="text1" w:themeTint="D9"/>
            </w:tcBorders>
            <w:shd w:val="clear" w:color="auto" w:fill="auto"/>
            <w:vAlign w:val="center"/>
          </w:tcPr>
          <w:p w:rsidR="00DB4EBD" w:rsidRPr="0008292A" w:rsidRDefault="00DB4EBD" w:rsidP="00CE6EEF">
            <w:pPr>
              <w:pStyle w:val="Paragraphedeliste"/>
              <w:ind w:left="0"/>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8"/>
                <w:szCs w:val="18"/>
              </w:rPr>
            </w:pPr>
            <w:r w:rsidRPr="0008292A">
              <w:rPr>
                <w:color w:val="262626" w:themeColor="text1" w:themeTint="D9"/>
                <w:sz w:val="18"/>
                <w:szCs w:val="18"/>
              </w:rPr>
              <w:t>20%</w:t>
            </w:r>
          </w:p>
        </w:tc>
        <w:tc>
          <w:tcPr>
            <w:tcW w:w="1306" w:type="dxa"/>
            <w:tcBorders>
              <w:top w:val="single" w:sz="4" w:space="0" w:color="BFBFBF" w:themeColor="background1" w:themeShade="BF"/>
              <w:bottom w:val="single" w:sz="4" w:space="0" w:color="262626" w:themeColor="text1" w:themeTint="D9"/>
            </w:tcBorders>
            <w:shd w:val="clear" w:color="auto" w:fill="auto"/>
            <w:vAlign w:val="center"/>
          </w:tcPr>
          <w:p w:rsidR="00DB4EBD" w:rsidRPr="0008292A" w:rsidRDefault="00DB4EBD" w:rsidP="00CE6EEF">
            <w:pPr>
              <w:pStyle w:val="Paragraphedeliste"/>
              <w:ind w:left="0"/>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8"/>
                <w:szCs w:val="18"/>
              </w:rPr>
            </w:pPr>
            <w:proofErr w:type="spellStart"/>
            <w:r w:rsidRPr="0008292A">
              <w:rPr>
                <w:color w:val="262626" w:themeColor="text1" w:themeTint="D9"/>
                <w:sz w:val="18"/>
                <w:szCs w:val="18"/>
              </w:rPr>
              <w:t>nc</w:t>
            </w:r>
            <w:proofErr w:type="spellEnd"/>
          </w:p>
        </w:tc>
        <w:tc>
          <w:tcPr>
            <w:tcW w:w="1634" w:type="dxa"/>
            <w:tcBorders>
              <w:top w:val="single" w:sz="4" w:space="0" w:color="BFBFBF" w:themeColor="background1" w:themeShade="BF"/>
              <w:bottom w:val="single" w:sz="4" w:space="0" w:color="262626" w:themeColor="text1" w:themeTint="D9"/>
            </w:tcBorders>
            <w:shd w:val="clear" w:color="auto" w:fill="auto"/>
            <w:vAlign w:val="center"/>
          </w:tcPr>
          <w:p w:rsidR="00DB4EBD" w:rsidRPr="0008292A" w:rsidRDefault="00DB4EBD" w:rsidP="00CE6EEF">
            <w:pPr>
              <w:pStyle w:val="Paragraphedeliste"/>
              <w:ind w:left="0"/>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8"/>
                <w:szCs w:val="18"/>
              </w:rPr>
            </w:pPr>
            <w:r w:rsidRPr="0008292A">
              <w:rPr>
                <w:color w:val="262626" w:themeColor="text1" w:themeTint="D9"/>
                <w:sz w:val="18"/>
                <w:szCs w:val="18"/>
              </w:rPr>
              <w:t>Prévu fin 2012</w:t>
            </w:r>
          </w:p>
        </w:tc>
      </w:tr>
    </w:tbl>
    <w:p w:rsidR="00796B89" w:rsidRPr="00796B89" w:rsidRDefault="00796B89" w:rsidP="005468C0">
      <w:pPr>
        <w:pStyle w:val="Paragraphedeliste"/>
        <w:spacing w:before="120"/>
        <w:ind w:left="0"/>
        <w:jc w:val="left"/>
        <w:rPr>
          <w:color w:val="auto"/>
          <w:sz w:val="18"/>
          <w:szCs w:val="18"/>
        </w:rPr>
      </w:pPr>
      <w:r w:rsidRPr="00796B89">
        <w:rPr>
          <w:color w:val="auto"/>
          <w:sz w:val="18"/>
          <w:szCs w:val="18"/>
        </w:rPr>
        <w:t xml:space="preserve">Note : </w:t>
      </w:r>
      <w:r w:rsidRPr="00796B89">
        <w:rPr>
          <w:rFonts w:cs="Verdana"/>
          <w:color w:val="262626" w:themeColor="text1" w:themeTint="D9"/>
          <w:sz w:val="18"/>
          <w:szCs w:val="18"/>
        </w:rPr>
        <w:t>ø signifie « pas de réseau »</w:t>
      </w:r>
    </w:p>
    <w:p w:rsidR="00DB4EBD" w:rsidRPr="00754D8A" w:rsidRDefault="00DB4EBD" w:rsidP="005468C0">
      <w:pPr>
        <w:pStyle w:val="Paragraphedeliste"/>
        <w:spacing w:before="120"/>
        <w:ind w:left="0"/>
        <w:jc w:val="left"/>
        <w:rPr>
          <w:color w:val="auto"/>
          <w:sz w:val="18"/>
          <w:szCs w:val="18"/>
        </w:rPr>
      </w:pPr>
      <w:r w:rsidRPr="00754D8A">
        <w:rPr>
          <w:color w:val="auto"/>
          <w:sz w:val="18"/>
          <w:szCs w:val="18"/>
        </w:rPr>
        <w:t>Sources : Intérêts Privés n°639 (interetsprivé.grouperf.com), OCAM</w:t>
      </w:r>
    </w:p>
    <w:p w:rsidR="00DB4EBD" w:rsidRDefault="00DB4EBD" w:rsidP="00DB4EBD">
      <w:pPr>
        <w:pStyle w:val="Paragraphedeliste"/>
        <w:ind w:left="1134"/>
      </w:pPr>
    </w:p>
    <w:p w:rsidR="00DB4EBD" w:rsidRDefault="00DB4EBD" w:rsidP="00DB4EBD">
      <w:pPr>
        <w:pStyle w:val="Paragraphedeliste"/>
        <w:ind w:left="1134"/>
      </w:pPr>
    </w:p>
    <w:p w:rsidR="0008292A" w:rsidRDefault="0008292A" w:rsidP="009E3627">
      <w:pPr>
        <w:pStyle w:val="Paragraphedeliste"/>
        <w:ind w:left="0" w:right="3541"/>
        <w:jc w:val="left"/>
        <w:rPr>
          <w:color w:val="262626" w:themeColor="text1" w:themeTint="D9"/>
          <w:sz w:val="20"/>
          <w:szCs w:val="20"/>
        </w:rPr>
        <w:sectPr w:rsidR="0008292A" w:rsidSect="00415E08">
          <w:type w:val="continuous"/>
          <w:pgSz w:w="11906" w:h="16838"/>
          <w:pgMar w:top="1928" w:right="1418" w:bottom="1135" w:left="993" w:header="709" w:footer="709" w:gutter="0"/>
          <w:cols w:space="708"/>
          <w:docGrid w:linePitch="360"/>
        </w:sectPr>
      </w:pPr>
    </w:p>
    <w:p w:rsidR="00E1528D" w:rsidRPr="0008292A" w:rsidRDefault="00DB4EBD" w:rsidP="0008292A">
      <w:pPr>
        <w:pStyle w:val="Paragraphedeliste"/>
        <w:ind w:left="0" w:right="140"/>
        <w:jc w:val="left"/>
        <w:rPr>
          <w:color w:val="262626" w:themeColor="text1" w:themeTint="D9"/>
          <w:sz w:val="20"/>
          <w:szCs w:val="20"/>
        </w:rPr>
      </w:pPr>
      <w:r w:rsidRPr="0008292A">
        <w:rPr>
          <w:color w:val="262626" w:themeColor="text1" w:themeTint="D9"/>
          <w:sz w:val="20"/>
          <w:szCs w:val="20"/>
        </w:rPr>
        <w:lastRenderedPageBreak/>
        <w:t>Ces tarifs minorés se réalisent à q</w:t>
      </w:r>
      <w:r w:rsidR="00754D8A" w:rsidRPr="0008292A">
        <w:rPr>
          <w:color w:val="262626" w:themeColor="text1" w:themeTint="D9"/>
          <w:sz w:val="20"/>
          <w:szCs w:val="20"/>
        </w:rPr>
        <w:t xml:space="preserve">ualité constante de prestation : </w:t>
      </w:r>
      <w:r w:rsidRPr="0008292A">
        <w:rPr>
          <w:color w:val="262626" w:themeColor="text1" w:themeTint="D9"/>
          <w:sz w:val="20"/>
          <w:szCs w:val="20"/>
        </w:rPr>
        <w:t xml:space="preserve">afin d’assurer à leurs assurés le meilleur rapport qualité-prix, les OCAM contrôlent la qualité des services délivrés au sein de leur réseau. </w:t>
      </w:r>
    </w:p>
    <w:p w:rsidR="00E1528D" w:rsidRPr="0008292A" w:rsidRDefault="00E1528D" w:rsidP="0008292A">
      <w:pPr>
        <w:pStyle w:val="Paragraphedeliste"/>
        <w:ind w:left="0" w:right="140"/>
        <w:jc w:val="left"/>
        <w:rPr>
          <w:color w:val="262626" w:themeColor="text1" w:themeTint="D9"/>
          <w:sz w:val="20"/>
          <w:szCs w:val="20"/>
        </w:rPr>
      </w:pPr>
    </w:p>
    <w:p w:rsidR="0008292A" w:rsidRDefault="0008292A" w:rsidP="0008292A">
      <w:pPr>
        <w:pStyle w:val="Paragraphedeliste"/>
        <w:ind w:left="0" w:right="140"/>
        <w:jc w:val="left"/>
        <w:rPr>
          <w:color w:val="262626" w:themeColor="text1" w:themeTint="D9"/>
          <w:sz w:val="20"/>
          <w:szCs w:val="20"/>
        </w:rPr>
      </w:pPr>
    </w:p>
    <w:p w:rsidR="0008292A" w:rsidRDefault="0008292A" w:rsidP="0008292A">
      <w:pPr>
        <w:pStyle w:val="Paragraphedeliste"/>
        <w:ind w:left="0" w:right="140"/>
        <w:jc w:val="left"/>
        <w:rPr>
          <w:color w:val="262626" w:themeColor="text1" w:themeTint="D9"/>
          <w:sz w:val="20"/>
          <w:szCs w:val="20"/>
        </w:rPr>
      </w:pPr>
    </w:p>
    <w:p w:rsidR="0008292A" w:rsidRDefault="0008292A" w:rsidP="0008292A">
      <w:pPr>
        <w:pStyle w:val="Paragraphedeliste"/>
        <w:ind w:left="0" w:right="140"/>
        <w:jc w:val="left"/>
        <w:rPr>
          <w:color w:val="262626" w:themeColor="text1" w:themeTint="D9"/>
          <w:sz w:val="20"/>
          <w:szCs w:val="20"/>
        </w:rPr>
      </w:pPr>
    </w:p>
    <w:p w:rsidR="0008292A" w:rsidRDefault="0008292A" w:rsidP="0008292A">
      <w:pPr>
        <w:pStyle w:val="Paragraphedeliste"/>
        <w:ind w:left="0" w:right="140"/>
        <w:jc w:val="left"/>
        <w:rPr>
          <w:color w:val="262626" w:themeColor="text1" w:themeTint="D9"/>
          <w:sz w:val="20"/>
          <w:szCs w:val="20"/>
        </w:rPr>
      </w:pPr>
    </w:p>
    <w:p w:rsidR="0008292A" w:rsidRDefault="0008292A" w:rsidP="0008292A">
      <w:pPr>
        <w:pStyle w:val="Paragraphedeliste"/>
        <w:ind w:left="0" w:right="140"/>
        <w:jc w:val="left"/>
        <w:rPr>
          <w:color w:val="262626" w:themeColor="text1" w:themeTint="D9"/>
          <w:sz w:val="20"/>
          <w:szCs w:val="20"/>
        </w:rPr>
      </w:pPr>
    </w:p>
    <w:p w:rsidR="00DB4EBD" w:rsidRPr="0008292A" w:rsidRDefault="00DB4EBD" w:rsidP="0008292A">
      <w:pPr>
        <w:pStyle w:val="Paragraphedeliste"/>
        <w:ind w:left="0" w:right="140"/>
        <w:jc w:val="left"/>
        <w:rPr>
          <w:color w:val="262626" w:themeColor="text1" w:themeTint="D9"/>
          <w:sz w:val="20"/>
          <w:szCs w:val="20"/>
        </w:rPr>
      </w:pPr>
      <w:r w:rsidRPr="0008292A">
        <w:rPr>
          <w:color w:val="262626" w:themeColor="text1" w:themeTint="D9"/>
          <w:sz w:val="20"/>
          <w:szCs w:val="20"/>
        </w:rPr>
        <w:lastRenderedPageBreak/>
        <w:t xml:space="preserve">Ce </w:t>
      </w:r>
      <w:r w:rsidR="0008292A">
        <w:rPr>
          <w:color w:val="262626" w:themeColor="text1" w:themeTint="D9"/>
          <w:sz w:val="20"/>
          <w:szCs w:val="20"/>
        </w:rPr>
        <w:t>dispositif</w:t>
      </w:r>
      <w:r w:rsidRPr="0008292A">
        <w:rPr>
          <w:color w:val="262626" w:themeColor="text1" w:themeTint="D9"/>
          <w:sz w:val="20"/>
          <w:szCs w:val="20"/>
        </w:rPr>
        <w:t xml:space="preserve"> contribue ainsi à résoudre le problème de l’asymétrie d’information entre professionnels de santé et patients. En effet, l’appréciation des patients quant à la qualité des soins au regard de leur coût est particulièrement complexe. Il </w:t>
      </w:r>
      <w:r w:rsidR="00DB6BE0">
        <w:rPr>
          <w:color w:val="262626" w:themeColor="text1" w:themeTint="D9"/>
          <w:sz w:val="20"/>
          <w:szCs w:val="20"/>
        </w:rPr>
        <w:t>peut</w:t>
      </w:r>
      <w:r w:rsidRPr="0008292A">
        <w:rPr>
          <w:color w:val="262626" w:themeColor="text1" w:themeTint="D9"/>
          <w:sz w:val="20"/>
          <w:szCs w:val="20"/>
        </w:rPr>
        <w:t xml:space="preserve"> d’ailleurs </w:t>
      </w:r>
      <w:r w:rsidR="00DB6BE0">
        <w:rPr>
          <w:color w:val="262626" w:themeColor="text1" w:themeTint="D9"/>
          <w:sz w:val="20"/>
          <w:szCs w:val="20"/>
        </w:rPr>
        <w:t xml:space="preserve">arriver que des professionnels de santé peu scrupuleux </w:t>
      </w:r>
      <w:r w:rsidRPr="0008292A">
        <w:rPr>
          <w:color w:val="262626" w:themeColor="text1" w:themeTint="D9"/>
          <w:sz w:val="20"/>
          <w:szCs w:val="20"/>
        </w:rPr>
        <w:t xml:space="preserve">abusent de cette situation. </w:t>
      </w:r>
      <w:r w:rsidR="0031703E" w:rsidRPr="0008292A">
        <w:rPr>
          <w:color w:val="262626" w:themeColor="text1" w:themeTint="D9"/>
          <w:sz w:val="20"/>
          <w:szCs w:val="20"/>
        </w:rPr>
        <w:t xml:space="preserve">Il nous a plusieurs fois </w:t>
      </w:r>
      <w:r w:rsidR="00DB6BE0">
        <w:rPr>
          <w:color w:val="262626" w:themeColor="text1" w:themeTint="D9"/>
          <w:sz w:val="20"/>
          <w:szCs w:val="20"/>
        </w:rPr>
        <w:t xml:space="preserve">été </w:t>
      </w:r>
      <w:r w:rsidR="0031703E" w:rsidRPr="0008292A">
        <w:rPr>
          <w:color w:val="262626" w:themeColor="text1" w:themeTint="D9"/>
          <w:sz w:val="20"/>
          <w:szCs w:val="20"/>
        </w:rPr>
        <w:t>rapporté que c</w:t>
      </w:r>
      <w:r w:rsidRPr="0008292A">
        <w:rPr>
          <w:color w:val="262626" w:themeColor="text1" w:themeTint="D9"/>
          <w:sz w:val="20"/>
          <w:szCs w:val="20"/>
        </w:rPr>
        <w:t xml:space="preserve">ertains opticiens proposent parfois à leurs clients des produits, non pas en fonction de leurs besoins </w:t>
      </w:r>
      <w:r w:rsidR="00DB6BE0">
        <w:rPr>
          <w:color w:val="262626" w:themeColor="text1" w:themeTint="D9"/>
          <w:sz w:val="20"/>
          <w:szCs w:val="20"/>
        </w:rPr>
        <w:t xml:space="preserve">de base </w:t>
      </w:r>
      <w:r w:rsidRPr="0008292A">
        <w:rPr>
          <w:color w:val="262626" w:themeColor="text1" w:themeTint="D9"/>
          <w:sz w:val="20"/>
          <w:szCs w:val="20"/>
        </w:rPr>
        <w:t>mais selon le niveau de prise en c</w:t>
      </w:r>
      <w:r w:rsidR="009E3627" w:rsidRPr="0008292A">
        <w:rPr>
          <w:color w:val="262626" w:themeColor="text1" w:themeTint="D9"/>
          <w:sz w:val="20"/>
          <w:szCs w:val="20"/>
        </w:rPr>
        <w:t>harge par la</w:t>
      </w:r>
      <w:r w:rsidRPr="0008292A">
        <w:rPr>
          <w:color w:val="262626" w:themeColor="text1" w:themeTint="D9"/>
          <w:sz w:val="20"/>
          <w:szCs w:val="20"/>
        </w:rPr>
        <w:t xml:space="preserve"> complémentaire santé. </w:t>
      </w:r>
    </w:p>
    <w:p w:rsidR="0008292A" w:rsidRDefault="0008292A" w:rsidP="00DB4EBD">
      <w:pPr>
        <w:sectPr w:rsidR="0008292A" w:rsidSect="00DB6BE0">
          <w:type w:val="continuous"/>
          <w:pgSz w:w="11906" w:h="16838"/>
          <w:pgMar w:top="1928" w:right="1418" w:bottom="1135" w:left="993" w:header="709" w:footer="709" w:gutter="0"/>
          <w:cols w:num="2" w:space="423"/>
          <w:docGrid w:linePitch="360"/>
        </w:sectPr>
      </w:pPr>
    </w:p>
    <w:p w:rsidR="00DB4EBD" w:rsidRDefault="00DB4EBD" w:rsidP="00DB4EBD"/>
    <w:p w:rsidR="00796B89" w:rsidRDefault="00796B89" w:rsidP="00DB4EBD"/>
    <w:p w:rsidR="009E3627" w:rsidRDefault="009E3627" w:rsidP="00B46EAB">
      <w:pPr>
        <w:pStyle w:val="Titre2"/>
        <w:keepNext w:val="0"/>
        <w:keepLines w:val="0"/>
        <w:spacing w:before="0" w:after="120" w:line="240" w:lineRule="auto"/>
        <w:ind w:left="703" w:right="3544" w:hanging="703"/>
        <w:rPr>
          <w:i/>
          <w:color w:val="17365D" w:themeColor="text2" w:themeShade="BF"/>
          <w:sz w:val="28"/>
          <w:szCs w:val="28"/>
        </w:rPr>
      </w:pPr>
      <w:r>
        <w:rPr>
          <w:rFonts w:eastAsiaTheme="minorHAnsi" w:cstheme="minorBidi"/>
          <w:bCs w:val="0"/>
          <w:color w:val="7A003C"/>
          <w:sz w:val="18"/>
          <w:szCs w:val="18"/>
        </w:rPr>
        <w:lastRenderedPageBreak/>
        <w:t>[3.2</w:t>
      </w:r>
      <w:r w:rsidRPr="00987897">
        <w:rPr>
          <w:rFonts w:eastAsiaTheme="minorHAnsi" w:cstheme="minorBidi"/>
          <w:bCs w:val="0"/>
          <w:color w:val="7A003C"/>
          <w:sz w:val="18"/>
          <w:szCs w:val="18"/>
        </w:rPr>
        <w:t>]</w:t>
      </w:r>
      <w:r w:rsidRPr="00987897">
        <w:rPr>
          <w:rFonts w:eastAsiaTheme="minorHAnsi" w:cstheme="minorBidi"/>
          <w:bCs w:val="0"/>
          <w:color w:val="7A003C"/>
          <w:sz w:val="18"/>
          <w:szCs w:val="18"/>
        </w:rPr>
        <w:tab/>
      </w:r>
      <w:r w:rsidR="00DB6BE0">
        <w:rPr>
          <w:i/>
          <w:color w:val="17365D" w:themeColor="text2" w:themeShade="BF"/>
          <w:sz w:val="28"/>
          <w:szCs w:val="28"/>
        </w:rPr>
        <w:t>Ce système de régulation a</w:t>
      </w:r>
      <w:r>
        <w:rPr>
          <w:i/>
          <w:color w:val="17365D" w:themeColor="text2" w:themeShade="BF"/>
          <w:sz w:val="28"/>
          <w:szCs w:val="28"/>
        </w:rPr>
        <w:t xml:space="preserve"> contribué à maîtriser les dépenses d’optique</w:t>
      </w:r>
    </w:p>
    <w:p w:rsidR="0031703E" w:rsidRPr="0031703E" w:rsidRDefault="0031703E" w:rsidP="0031703E"/>
    <w:p w:rsidR="009E3627" w:rsidRDefault="009E3627" w:rsidP="00CE6EEF">
      <w:pPr>
        <w:rPr>
          <w:color w:val="auto"/>
        </w:rPr>
        <w:sectPr w:rsidR="009E3627" w:rsidSect="00415E08">
          <w:type w:val="continuous"/>
          <w:pgSz w:w="11906" w:h="16838"/>
          <w:pgMar w:top="1928" w:right="1418" w:bottom="1135" w:left="993" w:header="709" w:footer="709" w:gutter="0"/>
          <w:cols w:space="708"/>
          <w:docGrid w:linePitch="360"/>
        </w:sectPr>
      </w:pPr>
    </w:p>
    <w:p w:rsidR="00DB4EBD" w:rsidRPr="0008292A" w:rsidRDefault="00DB4EBD" w:rsidP="009E3627">
      <w:pPr>
        <w:jc w:val="left"/>
        <w:rPr>
          <w:color w:val="262626" w:themeColor="text1" w:themeTint="D9"/>
          <w:sz w:val="20"/>
          <w:szCs w:val="20"/>
        </w:rPr>
      </w:pPr>
      <w:r w:rsidRPr="0008292A">
        <w:rPr>
          <w:color w:val="262626" w:themeColor="text1" w:themeTint="D9"/>
          <w:sz w:val="20"/>
          <w:szCs w:val="20"/>
        </w:rPr>
        <w:lastRenderedPageBreak/>
        <w:t xml:space="preserve">Les réseaux conventionnés ne permettent pas seulement de réguler les prix au sein </w:t>
      </w:r>
      <w:r w:rsidR="0031703E" w:rsidRPr="0008292A">
        <w:rPr>
          <w:color w:val="262626" w:themeColor="text1" w:themeTint="D9"/>
          <w:sz w:val="20"/>
          <w:szCs w:val="20"/>
        </w:rPr>
        <w:t xml:space="preserve">des magasins adhérents ; </w:t>
      </w:r>
      <w:r w:rsidR="0031703E" w:rsidRPr="0008292A">
        <w:rPr>
          <w:b/>
          <w:color w:val="262626" w:themeColor="text1" w:themeTint="D9"/>
          <w:sz w:val="20"/>
          <w:szCs w:val="20"/>
        </w:rPr>
        <w:t>i</w:t>
      </w:r>
      <w:r w:rsidRPr="0008292A">
        <w:rPr>
          <w:b/>
          <w:color w:val="262626" w:themeColor="text1" w:themeTint="D9"/>
          <w:sz w:val="20"/>
          <w:szCs w:val="20"/>
        </w:rPr>
        <w:t>ls contribuent égale</w:t>
      </w:r>
      <w:r w:rsidR="00DB6BE0">
        <w:rPr>
          <w:b/>
          <w:color w:val="262626" w:themeColor="text1" w:themeTint="D9"/>
          <w:sz w:val="20"/>
          <w:szCs w:val="20"/>
        </w:rPr>
        <w:t>ment à la régulation des prix dans</w:t>
      </w:r>
      <w:r w:rsidRPr="0008292A">
        <w:rPr>
          <w:b/>
          <w:color w:val="262626" w:themeColor="text1" w:themeTint="D9"/>
          <w:sz w:val="20"/>
          <w:szCs w:val="20"/>
        </w:rPr>
        <w:t xml:space="preserve"> l’ensemble du secteur grâce au jeu de la concurrence.</w:t>
      </w:r>
      <w:r w:rsidRPr="0008292A">
        <w:rPr>
          <w:color w:val="262626" w:themeColor="text1" w:themeTint="D9"/>
          <w:sz w:val="20"/>
          <w:szCs w:val="20"/>
        </w:rPr>
        <w:t xml:space="preserve"> </w:t>
      </w:r>
    </w:p>
    <w:p w:rsidR="00DB6BE0" w:rsidRDefault="00DB4EBD" w:rsidP="009E3627">
      <w:pPr>
        <w:jc w:val="left"/>
        <w:rPr>
          <w:color w:val="262626" w:themeColor="text1" w:themeTint="D9"/>
          <w:sz w:val="20"/>
          <w:szCs w:val="20"/>
        </w:rPr>
      </w:pPr>
      <w:r w:rsidRPr="0008292A">
        <w:rPr>
          <w:color w:val="262626" w:themeColor="text1" w:themeTint="D9"/>
          <w:sz w:val="20"/>
          <w:szCs w:val="20"/>
        </w:rPr>
        <w:t xml:space="preserve">Au début des années 2000, les prix des lunettes de vue </w:t>
      </w:r>
      <w:proofErr w:type="spellStart"/>
      <w:r w:rsidR="00796B89">
        <w:rPr>
          <w:color w:val="262626" w:themeColor="text1" w:themeTint="D9"/>
          <w:sz w:val="20"/>
          <w:szCs w:val="20"/>
        </w:rPr>
        <w:t>prograissaient</w:t>
      </w:r>
      <w:proofErr w:type="spellEnd"/>
      <w:r w:rsidRPr="0008292A">
        <w:rPr>
          <w:color w:val="262626" w:themeColor="text1" w:themeTint="D9"/>
          <w:sz w:val="20"/>
          <w:szCs w:val="20"/>
        </w:rPr>
        <w:t xml:space="preserve"> au même rythme que l’indice des prix à la consommation (IPC), soit environ </w:t>
      </w:r>
      <w:r w:rsidR="00796B89">
        <w:rPr>
          <w:color w:val="262626" w:themeColor="text1" w:themeTint="D9"/>
          <w:sz w:val="20"/>
          <w:szCs w:val="20"/>
        </w:rPr>
        <w:t>+2% par an</w:t>
      </w:r>
      <w:r w:rsidRPr="0008292A">
        <w:rPr>
          <w:color w:val="262626" w:themeColor="text1" w:themeTint="D9"/>
          <w:sz w:val="20"/>
          <w:szCs w:val="20"/>
        </w:rPr>
        <w:t xml:space="preserve">. L’augmentation des tarifs d’optique a ensuite ralenti </w:t>
      </w:r>
      <w:r w:rsidR="00DB6BE0">
        <w:rPr>
          <w:color w:val="262626" w:themeColor="text1" w:themeTint="D9"/>
          <w:sz w:val="20"/>
          <w:szCs w:val="20"/>
        </w:rPr>
        <w:t xml:space="preserve">en 2006 et 2007 avant de repartir </w:t>
      </w:r>
      <w:r w:rsidR="00796B89">
        <w:rPr>
          <w:color w:val="262626" w:themeColor="text1" w:themeTint="D9"/>
          <w:sz w:val="20"/>
          <w:szCs w:val="20"/>
        </w:rPr>
        <w:t>à la</w:t>
      </w:r>
      <w:r w:rsidR="00DB6BE0">
        <w:rPr>
          <w:color w:val="262626" w:themeColor="text1" w:themeTint="D9"/>
          <w:sz w:val="20"/>
          <w:szCs w:val="20"/>
        </w:rPr>
        <w:t xml:space="preserve"> hausse en 2008 et 2009.</w:t>
      </w:r>
    </w:p>
    <w:p w:rsidR="00DD52FB" w:rsidRDefault="00DD52FB" w:rsidP="009E3627">
      <w:pPr>
        <w:jc w:val="left"/>
        <w:rPr>
          <w:color w:val="262626" w:themeColor="text1" w:themeTint="D9"/>
          <w:sz w:val="20"/>
          <w:szCs w:val="20"/>
        </w:rPr>
      </w:pPr>
    </w:p>
    <w:p w:rsidR="00796B89" w:rsidRDefault="00796B89" w:rsidP="009E3627">
      <w:pPr>
        <w:jc w:val="left"/>
        <w:rPr>
          <w:color w:val="262626" w:themeColor="text1" w:themeTint="D9"/>
          <w:sz w:val="20"/>
          <w:szCs w:val="20"/>
        </w:rPr>
      </w:pPr>
    </w:p>
    <w:p w:rsidR="009E3627" w:rsidRPr="0008292A" w:rsidRDefault="00DB4EBD" w:rsidP="009E3627">
      <w:pPr>
        <w:jc w:val="left"/>
        <w:rPr>
          <w:color w:val="262626" w:themeColor="text1" w:themeTint="D9"/>
          <w:sz w:val="20"/>
          <w:szCs w:val="20"/>
        </w:rPr>
      </w:pPr>
      <w:r w:rsidRPr="0008292A">
        <w:rPr>
          <w:color w:val="262626" w:themeColor="text1" w:themeTint="D9"/>
          <w:sz w:val="20"/>
          <w:szCs w:val="20"/>
        </w:rPr>
        <w:lastRenderedPageBreak/>
        <w:t xml:space="preserve">En 2010 et 2011, les réseaux conventionnés </w:t>
      </w:r>
      <w:r w:rsidR="00DB6BE0">
        <w:rPr>
          <w:color w:val="262626" w:themeColor="text1" w:themeTint="D9"/>
          <w:sz w:val="20"/>
          <w:szCs w:val="20"/>
        </w:rPr>
        <w:t>sont montés en puissance</w:t>
      </w:r>
      <w:r w:rsidRPr="0008292A">
        <w:rPr>
          <w:color w:val="262626" w:themeColor="text1" w:themeTint="D9"/>
          <w:sz w:val="20"/>
          <w:szCs w:val="20"/>
        </w:rPr>
        <w:t xml:space="preserve">. </w:t>
      </w:r>
      <w:r w:rsidR="00DB6BE0">
        <w:rPr>
          <w:color w:val="262626" w:themeColor="text1" w:themeTint="D9"/>
          <w:sz w:val="20"/>
          <w:szCs w:val="20"/>
        </w:rPr>
        <w:t>Or, lors de c</w:t>
      </w:r>
      <w:r w:rsidRPr="0008292A">
        <w:rPr>
          <w:color w:val="262626" w:themeColor="text1" w:themeTint="D9"/>
          <w:sz w:val="20"/>
          <w:szCs w:val="20"/>
        </w:rPr>
        <w:t>es deux années, la crois</w:t>
      </w:r>
      <w:r w:rsidR="00DB6BE0">
        <w:rPr>
          <w:color w:val="262626" w:themeColor="text1" w:themeTint="D9"/>
          <w:sz w:val="20"/>
          <w:szCs w:val="20"/>
        </w:rPr>
        <w:t xml:space="preserve">sance de l’IPC s’est accélérée tandis </w:t>
      </w:r>
      <w:r w:rsidRPr="0008292A">
        <w:rPr>
          <w:color w:val="262626" w:themeColor="text1" w:themeTint="D9"/>
          <w:sz w:val="20"/>
          <w:szCs w:val="20"/>
        </w:rPr>
        <w:t>celle des prix des lun</w:t>
      </w:r>
      <w:r w:rsidR="00DB6BE0">
        <w:rPr>
          <w:color w:val="262626" w:themeColor="text1" w:themeTint="D9"/>
          <w:sz w:val="20"/>
          <w:szCs w:val="20"/>
        </w:rPr>
        <w:t>ettes a été quasiment nulle.</w:t>
      </w:r>
    </w:p>
    <w:p w:rsidR="0031703E" w:rsidRDefault="00DB4EBD" w:rsidP="009E3627">
      <w:pPr>
        <w:jc w:val="left"/>
        <w:rPr>
          <w:color w:val="262626" w:themeColor="text1" w:themeTint="D9"/>
          <w:sz w:val="20"/>
          <w:szCs w:val="20"/>
        </w:rPr>
      </w:pPr>
      <w:r w:rsidRPr="0008292A">
        <w:rPr>
          <w:color w:val="262626" w:themeColor="text1" w:themeTint="D9"/>
          <w:sz w:val="20"/>
          <w:szCs w:val="20"/>
        </w:rPr>
        <w:t>L’indice de prix des lunettes n’a cru que de 0,2% en 2010 et est resté stable en 2011 (+0,0%). Parallèlement, l’inf</w:t>
      </w:r>
      <w:r w:rsidR="0031703E" w:rsidRPr="0008292A">
        <w:rPr>
          <w:color w:val="262626" w:themeColor="text1" w:themeTint="D9"/>
          <w:sz w:val="20"/>
          <w:szCs w:val="20"/>
        </w:rPr>
        <w:t>lation a</w:t>
      </w:r>
      <w:r w:rsidRPr="0008292A">
        <w:rPr>
          <w:color w:val="262626" w:themeColor="text1" w:themeTint="D9"/>
          <w:sz w:val="20"/>
          <w:szCs w:val="20"/>
        </w:rPr>
        <w:t xml:space="preserve"> été de 1,5% en 2010 et de 2,1% en 2011. </w:t>
      </w:r>
    </w:p>
    <w:p w:rsidR="00DD52FB" w:rsidRPr="0008292A" w:rsidRDefault="00DD52FB" w:rsidP="009E3627">
      <w:pPr>
        <w:jc w:val="left"/>
        <w:rPr>
          <w:color w:val="262626" w:themeColor="text1" w:themeTint="D9"/>
          <w:sz w:val="20"/>
          <w:szCs w:val="20"/>
        </w:rPr>
      </w:pPr>
      <w:r>
        <w:rPr>
          <w:color w:val="262626" w:themeColor="text1" w:themeTint="D9"/>
          <w:sz w:val="20"/>
          <w:szCs w:val="20"/>
        </w:rPr>
        <w:t xml:space="preserve">En conséquence, la croissance des dépenses d’optique en France, en 2011, </w:t>
      </w:r>
      <w:r w:rsidR="00796B89">
        <w:rPr>
          <w:color w:val="262626" w:themeColor="text1" w:themeTint="D9"/>
          <w:sz w:val="20"/>
          <w:szCs w:val="20"/>
        </w:rPr>
        <w:t>a été presque exclusivement imputable à l’augmentation des volumes.</w:t>
      </w:r>
    </w:p>
    <w:p w:rsidR="009E3627" w:rsidRDefault="009E3627" w:rsidP="00DB4EBD">
      <w:pPr>
        <w:spacing w:after="0" w:line="240" w:lineRule="auto"/>
        <w:jc w:val="center"/>
        <w:rPr>
          <w:b/>
        </w:rPr>
      </w:pPr>
    </w:p>
    <w:p w:rsidR="009E3627" w:rsidRDefault="009E3627" w:rsidP="00DB4EBD">
      <w:pPr>
        <w:spacing w:after="0" w:line="240" w:lineRule="auto"/>
        <w:jc w:val="center"/>
        <w:rPr>
          <w:b/>
        </w:rPr>
      </w:pPr>
    </w:p>
    <w:p w:rsidR="009E3627" w:rsidRDefault="009E3627" w:rsidP="00DB4EBD">
      <w:pPr>
        <w:spacing w:after="0" w:line="240" w:lineRule="auto"/>
        <w:jc w:val="center"/>
        <w:rPr>
          <w:b/>
        </w:rPr>
        <w:sectPr w:rsidR="009E3627" w:rsidSect="009E3627">
          <w:type w:val="continuous"/>
          <w:pgSz w:w="11906" w:h="16838"/>
          <w:pgMar w:top="1928" w:right="1418" w:bottom="1135" w:left="993" w:header="709" w:footer="709" w:gutter="0"/>
          <w:cols w:num="2" w:space="708"/>
          <w:docGrid w:linePitch="360"/>
        </w:sectPr>
      </w:pPr>
    </w:p>
    <w:p w:rsidR="009E3627" w:rsidRDefault="009E3627" w:rsidP="00DB4EBD">
      <w:pPr>
        <w:spacing w:after="0" w:line="240" w:lineRule="auto"/>
        <w:jc w:val="center"/>
        <w:rPr>
          <w:b/>
        </w:rPr>
      </w:pPr>
    </w:p>
    <w:p w:rsidR="009E3627" w:rsidRDefault="00F86138" w:rsidP="00DB4EBD">
      <w:pPr>
        <w:spacing w:after="0" w:line="240" w:lineRule="auto"/>
        <w:jc w:val="center"/>
        <w:rPr>
          <w:b/>
        </w:rPr>
      </w:pPr>
      <w:r>
        <w:rPr>
          <w:b/>
          <w:noProof/>
          <w:lang w:eastAsia="fr-FR"/>
        </w:rPr>
        <w:pict>
          <v:shape id="_x0000_s1073" type="#_x0000_t202" style="position:absolute;left:0;text-align:left;margin-left:-5.95pt;margin-top:8.4pt;width:254.8pt;height:45.85pt;z-index:251721728;mso-width-relative:margin;mso-height-relative:margin" filled="f" stroked="f">
            <v:textbox style="mso-next-textbox:#_x0000_s1073">
              <w:txbxContent>
                <w:p w:rsidR="00144D6D" w:rsidRDefault="00144D6D" w:rsidP="009E3627">
                  <w:pPr>
                    <w:tabs>
                      <w:tab w:val="left" w:pos="993"/>
                    </w:tabs>
                    <w:spacing w:after="0" w:line="240" w:lineRule="auto"/>
                    <w:ind w:left="990" w:hanging="990"/>
                    <w:jc w:val="left"/>
                    <w:rPr>
                      <w:b/>
                      <w:color w:val="262626" w:themeColor="text1" w:themeTint="D9"/>
                      <w:sz w:val="20"/>
                      <w:szCs w:val="20"/>
                    </w:rPr>
                  </w:pPr>
                  <w:r>
                    <w:rPr>
                      <w:color w:val="7A003C"/>
                      <w:sz w:val="18"/>
                      <w:szCs w:val="18"/>
                    </w:rPr>
                    <w:t>Graph 19</w:t>
                  </w:r>
                  <w:r w:rsidRPr="00987897">
                    <w:rPr>
                      <w:color w:val="7A003C"/>
                      <w:sz w:val="18"/>
                      <w:szCs w:val="18"/>
                    </w:rPr>
                    <w:t>.</w:t>
                  </w:r>
                  <w:r>
                    <w:rPr>
                      <w:color w:val="7A003C"/>
                      <w:sz w:val="18"/>
                      <w:szCs w:val="18"/>
                    </w:rPr>
                    <w:tab/>
                  </w:r>
                  <w:r>
                    <w:rPr>
                      <w:b/>
                      <w:color w:val="262626" w:themeColor="text1" w:themeTint="D9"/>
                      <w:sz w:val="20"/>
                      <w:szCs w:val="20"/>
                    </w:rPr>
                    <w:t>Indice des prix à la consommation et indice des prix des lunettes de vue</w:t>
                  </w:r>
                </w:p>
                <w:p w:rsidR="00144D6D" w:rsidRPr="0007533D" w:rsidRDefault="00144D6D" w:rsidP="0007533D">
                  <w:pPr>
                    <w:tabs>
                      <w:tab w:val="left" w:pos="993"/>
                    </w:tabs>
                    <w:spacing w:after="0" w:line="240" w:lineRule="auto"/>
                    <w:ind w:left="990" w:hanging="990"/>
                    <w:jc w:val="left"/>
                    <w:rPr>
                      <w:i/>
                      <w:color w:val="262626" w:themeColor="text1" w:themeTint="D9"/>
                      <w:sz w:val="18"/>
                      <w:szCs w:val="18"/>
                    </w:rPr>
                  </w:pPr>
                  <w:r>
                    <w:rPr>
                      <w:color w:val="7A003C"/>
                      <w:sz w:val="18"/>
                      <w:szCs w:val="18"/>
                    </w:rPr>
                    <w:tab/>
                  </w:r>
                  <w:r>
                    <w:rPr>
                      <w:i/>
                      <w:color w:val="262626" w:themeColor="text1" w:themeTint="D9"/>
                      <w:sz w:val="18"/>
                      <w:szCs w:val="18"/>
                    </w:rPr>
                    <w:t>Base 100 = 2000</w:t>
                  </w:r>
                </w:p>
              </w:txbxContent>
            </v:textbox>
          </v:shape>
        </w:pict>
      </w:r>
      <w:r>
        <w:rPr>
          <w:noProof/>
          <w:lang w:eastAsia="fr-FR"/>
        </w:rPr>
        <w:pict>
          <v:shape id="_x0000_s1100" type="#_x0000_t202" style="position:absolute;left:0;text-align:left;margin-left:260.85pt;margin-top:8.4pt;width:254.8pt;height:39.75pt;z-index:251746304;mso-width-relative:margin;mso-height-relative:margin" filled="f" stroked="f">
            <v:textbox style="mso-next-textbox:#_x0000_s1100">
              <w:txbxContent>
                <w:p w:rsidR="00144D6D" w:rsidRDefault="00144D6D" w:rsidP="0099503C">
                  <w:pPr>
                    <w:tabs>
                      <w:tab w:val="left" w:pos="993"/>
                    </w:tabs>
                    <w:spacing w:after="0" w:line="240" w:lineRule="auto"/>
                    <w:ind w:left="990" w:hanging="990"/>
                    <w:jc w:val="left"/>
                    <w:rPr>
                      <w:b/>
                      <w:color w:val="262626" w:themeColor="text1" w:themeTint="D9"/>
                      <w:sz w:val="20"/>
                      <w:szCs w:val="20"/>
                    </w:rPr>
                  </w:pPr>
                  <w:r>
                    <w:rPr>
                      <w:color w:val="7A003C"/>
                      <w:sz w:val="18"/>
                      <w:szCs w:val="18"/>
                    </w:rPr>
                    <w:t>Graph 20</w:t>
                  </w:r>
                  <w:r w:rsidRPr="00987897">
                    <w:rPr>
                      <w:color w:val="7A003C"/>
                      <w:sz w:val="18"/>
                      <w:szCs w:val="18"/>
                    </w:rPr>
                    <w:t>.</w:t>
                  </w:r>
                  <w:r>
                    <w:rPr>
                      <w:color w:val="7A003C"/>
                      <w:sz w:val="18"/>
                      <w:szCs w:val="18"/>
                    </w:rPr>
                    <w:tab/>
                  </w:r>
                  <w:r>
                    <w:rPr>
                      <w:b/>
                      <w:color w:val="262626" w:themeColor="text1" w:themeTint="D9"/>
                      <w:sz w:val="20"/>
                      <w:szCs w:val="20"/>
                    </w:rPr>
                    <w:t>Evolution des dépenses d’optique en France</w:t>
                  </w:r>
                </w:p>
                <w:p w:rsidR="00144D6D" w:rsidRPr="0007533D" w:rsidRDefault="00144D6D" w:rsidP="0099503C">
                  <w:pPr>
                    <w:tabs>
                      <w:tab w:val="left" w:pos="993"/>
                    </w:tabs>
                    <w:spacing w:after="0" w:line="240" w:lineRule="auto"/>
                    <w:ind w:left="990" w:hanging="990"/>
                    <w:jc w:val="left"/>
                    <w:rPr>
                      <w:i/>
                      <w:color w:val="262626" w:themeColor="text1" w:themeTint="D9"/>
                      <w:sz w:val="18"/>
                      <w:szCs w:val="18"/>
                    </w:rPr>
                  </w:pPr>
                  <w:r>
                    <w:rPr>
                      <w:color w:val="7A003C"/>
                      <w:sz w:val="18"/>
                      <w:szCs w:val="18"/>
                    </w:rPr>
                    <w:tab/>
                  </w:r>
                  <w:r>
                    <w:rPr>
                      <w:i/>
                      <w:color w:val="262626" w:themeColor="text1" w:themeTint="D9"/>
                      <w:sz w:val="18"/>
                      <w:szCs w:val="18"/>
                    </w:rPr>
                    <w:t>Taux de croissance annuelle</w:t>
                  </w:r>
                </w:p>
              </w:txbxContent>
            </v:textbox>
          </v:shape>
        </w:pict>
      </w:r>
    </w:p>
    <w:p w:rsidR="00DB4EBD" w:rsidRDefault="00DB4EBD" w:rsidP="00DB4EBD">
      <w:pPr>
        <w:spacing w:after="0" w:line="240" w:lineRule="auto"/>
        <w:jc w:val="center"/>
      </w:pPr>
    </w:p>
    <w:p w:rsidR="00DB4EBD" w:rsidRPr="00B375FE" w:rsidRDefault="00DB4EBD" w:rsidP="00DB4EBD">
      <w:pPr>
        <w:spacing w:after="0" w:line="240" w:lineRule="auto"/>
        <w:jc w:val="center"/>
        <w:rPr>
          <w:sz w:val="18"/>
          <w:szCs w:val="18"/>
        </w:rPr>
      </w:pPr>
    </w:p>
    <w:p w:rsidR="00DB4EBD" w:rsidRDefault="0099503C" w:rsidP="00DB4EBD">
      <w:pPr>
        <w:pStyle w:val="Titre2"/>
      </w:pPr>
      <w:r>
        <w:rPr>
          <w:noProof/>
          <w:lang w:eastAsia="fr-FR"/>
        </w:rPr>
        <w:drawing>
          <wp:anchor distT="0" distB="0" distL="114300" distR="114300" simplePos="0" relativeHeight="251748352" behindDoc="0" locked="0" layoutInCell="1" allowOverlap="1">
            <wp:simplePos x="0" y="0"/>
            <wp:positionH relativeFrom="column">
              <wp:posOffset>3246120</wp:posOffset>
            </wp:positionH>
            <wp:positionV relativeFrom="paragraph">
              <wp:posOffset>146050</wp:posOffset>
            </wp:positionV>
            <wp:extent cx="3238500" cy="2276475"/>
            <wp:effectExtent l="0" t="0" r="0" b="0"/>
            <wp:wrapNone/>
            <wp:docPr id="7"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Pr>
          <w:noProof/>
          <w:lang w:eastAsia="fr-FR"/>
        </w:rPr>
        <w:drawing>
          <wp:anchor distT="0" distB="0" distL="114300" distR="114300" simplePos="0" relativeHeight="251722752" behindDoc="0" locked="0" layoutInCell="1" allowOverlap="1">
            <wp:simplePos x="0" y="0"/>
            <wp:positionH relativeFrom="column">
              <wp:posOffset>-97155</wp:posOffset>
            </wp:positionH>
            <wp:positionV relativeFrom="paragraph">
              <wp:posOffset>212725</wp:posOffset>
            </wp:positionV>
            <wp:extent cx="3238500" cy="2162175"/>
            <wp:effectExtent l="19050" t="0" r="0" b="0"/>
            <wp:wrapNone/>
            <wp:docPr id="8"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rsidR="009E3627" w:rsidRDefault="009E3627" w:rsidP="009E3627"/>
    <w:p w:rsidR="009E3627" w:rsidRDefault="009E3627" w:rsidP="009E3627"/>
    <w:p w:rsidR="009E3627" w:rsidRDefault="009E3627" w:rsidP="009E3627"/>
    <w:p w:rsidR="009E3627" w:rsidRDefault="009E3627" w:rsidP="009E3627"/>
    <w:p w:rsidR="009E3627" w:rsidRDefault="009E3627" w:rsidP="009E3627"/>
    <w:p w:rsidR="009E3627" w:rsidRDefault="009E3627" w:rsidP="009E3627"/>
    <w:p w:rsidR="009E3627" w:rsidRDefault="00F86138" w:rsidP="009E3627">
      <w:r>
        <w:rPr>
          <w:noProof/>
          <w:lang w:eastAsia="fr-FR"/>
        </w:rPr>
        <w:pict>
          <v:shape id="_x0000_s1101" type="#_x0000_t202" style="position:absolute;left:0;text-align:left;margin-left:260.85pt;margin-top:14.85pt;width:231.75pt;height:26.25pt;z-index:251747328;mso-width-relative:margin;mso-height-relative:margin;v-text-anchor:middle" filled="f" stroked="f">
            <v:textbox>
              <w:txbxContent>
                <w:p w:rsidR="00144D6D" w:rsidRPr="00C9097E" w:rsidRDefault="00144D6D" w:rsidP="0099503C">
                  <w:pPr>
                    <w:spacing w:after="0" w:line="240" w:lineRule="auto"/>
                    <w:jc w:val="left"/>
                    <w:rPr>
                      <w:color w:val="262626" w:themeColor="text1" w:themeTint="D9"/>
                      <w:sz w:val="18"/>
                      <w:szCs w:val="18"/>
                    </w:rPr>
                  </w:pPr>
                  <w:r w:rsidRPr="00C9097E">
                    <w:rPr>
                      <w:color w:val="262626" w:themeColor="text1" w:themeTint="D9"/>
                      <w:sz w:val="18"/>
                      <w:szCs w:val="18"/>
                    </w:rPr>
                    <w:t xml:space="preserve">Source : </w:t>
                  </w:r>
                  <w:r>
                    <w:rPr>
                      <w:color w:val="262626" w:themeColor="text1" w:themeTint="D9"/>
                      <w:sz w:val="18"/>
                      <w:szCs w:val="18"/>
                    </w:rPr>
                    <w:t>Drees (Comptes de la santé)</w:t>
                  </w:r>
                </w:p>
                <w:p w:rsidR="00144D6D" w:rsidRPr="00C9097E" w:rsidRDefault="00144D6D" w:rsidP="0099503C">
                  <w:pPr>
                    <w:jc w:val="left"/>
                    <w:rPr>
                      <w:color w:val="262626" w:themeColor="text1" w:themeTint="D9"/>
                      <w:sz w:val="18"/>
                      <w:szCs w:val="18"/>
                    </w:rPr>
                  </w:pPr>
                </w:p>
              </w:txbxContent>
            </v:textbox>
          </v:shape>
        </w:pict>
      </w:r>
      <w:r>
        <w:rPr>
          <w:noProof/>
          <w:lang w:eastAsia="fr-FR"/>
        </w:rPr>
        <w:pict>
          <v:shape id="_x0000_s1074" type="#_x0000_t202" style="position:absolute;left:0;text-align:left;margin-left:-10.45pt;margin-top:14.85pt;width:248.05pt;height:26.25pt;z-index:251723776;mso-width-relative:margin;mso-height-relative:margin;v-text-anchor:middle" filled="f" stroked="f">
            <v:textbox>
              <w:txbxContent>
                <w:p w:rsidR="00144D6D" w:rsidRPr="00C9097E" w:rsidRDefault="00144D6D" w:rsidP="009E3627">
                  <w:pPr>
                    <w:spacing w:after="0" w:line="240" w:lineRule="auto"/>
                    <w:jc w:val="left"/>
                    <w:rPr>
                      <w:color w:val="262626" w:themeColor="text1" w:themeTint="D9"/>
                      <w:sz w:val="18"/>
                      <w:szCs w:val="18"/>
                    </w:rPr>
                  </w:pPr>
                  <w:r w:rsidRPr="00C9097E">
                    <w:rPr>
                      <w:color w:val="262626" w:themeColor="text1" w:themeTint="D9"/>
                      <w:sz w:val="18"/>
                      <w:szCs w:val="18"/>
                    </w:rPr>
                    <w:t xml:space="preserve">Source : </w:t>
                  </w:r>
                  <w:r>
                    <w:rPr>
                      <w:color w:val="262626" w:themeColor="text1" w:themeTint="D9"/>
                      <w:sz w:val="18"/>
                      <w:szCs w:val="18"/>
                    </w:rPr>
                    <w:t>Insee</w:t>
                  </w:r>
                </w:p>
                <w:p w:rsidR="00144D6D" w:rsidRPr="00C9097E" w:rsidRDefault="00144D6D" w:rsidP="009E3627">
                  <w:pPr>
                    <w:jc w:val="left"/>
                    <w:rPr>
                      <w:color w:val="262626" w:themeColor="text1" w:themeTint="D9"/>
                      <w:sz w:val="18"/>
                      <w:szCs w:val="18"/>
                    </w:rPr>
                  </w:pPr>
                </w:p>
              </w:txbxContent>
            </v:textbox>
          </v:shape>
        </w:pict>
      </w:r>
    </w:p>
    <w:p w:rsidR="009E3627" w:rsidRDefault="009E3627" w:rsidP="009E3627"/>
    <w:p w:rsidR="009E3627" w:rsidRDefault="009E3627" w:rsidP="009E3627"/>
    <w:p w:rsidR="001937F6" w:rsidRDefault="001937F6" w:rsidP="009E3627"/>
    <w:p w:rsidR="00DB6BE0" w:rsidRDefault="00DB6BE0" w:rsidP="009E3627"/>
    <w:p w:rsidR="001937F6" w:rsidRDefault="001937F6" w:rsidP="009E3627"/>
    <w:p w:rsidR="001937F6" w:rsidRDefault="001937F6" w:rsidP="009E3627"/>
    <w:p w:rsidR="00B46EAB" w:rsidRDefault="00B46EAB" w:rsidP="00B46EAB">
      <w:pPr>
        <w:pStyle w:val="Titre2"/>
        <w:keepNext w:val="0"/>
        <w:keepLines w:val="0"/>
        <w:spacing w:before="0" w:after="120"/>
        <w:ind w:left="705" w:right="2974" w:hanging="705"/>
        <w:rPr>
          <w:i/>
          <w:color w:val="17365D" w:themeColor="text2" w:themeShade="BF"/>
          <w:sz w:val="28"/>
          <w:szCs w:val="28"/>
        </w:rPr>
      </w:pPr>
      <w:r>
        <w:rPr>
          <w:rFonts w:eastAsiaTheme="minorHAnsi" w:cstheme="minorBidi"/>
          <w:bCs w:val="0"/>
          <w:color w:val="7A003C"/>
          <w:sz w:val="18"/>
          <w:szCs w:val="18"/>
        </w:rPr>
        <w:lastRenderedPageBreak/>
        <w:t>[3.3</w:t>
      </w:r>
      <w:r w:rsidRPr="00987897">
        <w:rPr>
          <w:rFonts w:eastAsiaTheme="minorHAnsi" w:cstheme="minorBidi"/>
          <w:bCs w:val="0"/>
          <w:color w:val="7A003C"/>
          <w:sz w:val="18"/>
          <w:szCs w:val="18"/>
        </w:rPr>
        <w:t>]</w:t>
      </w:r>
      <w:r w:rsidRPr="00987897">
        <w:rPr>
          <w:rFonts w:eastAsiaTheme="minorHAnsi" w:cstheme="minorBidi"/>
          <w:bCs w:val="0"/>
          <w:color w:val="7A003C"/>
          <w:sz w:val="18"/>
          <w:szCs w:val="18"/>
        </w:rPr>
        <w:tab/>
      </w:r>
      <w:r>
        <w:rPr>
          <w:i/>
          <w:color w:val="17365D" w:themeColor="text2" w:themeShade="BF"/>
          <w:sz w:val="28"/>
          <w:szCs w:val="28"/>
        </w:rPr>
        <w:t>Avantages / inconvénients du conventionnement pour les professionnels de santé</w:t>
      </w:r>
    </w:p>
    <w:p w:rsidR="00B46EAB" w:rsidRDefault="00B46EAB" w:rsidP="00B46EAB">
      <w:pPr>
        <w:spacing w:after="0" w:line="240" w:lineRule="auto"/>
        <w:jc w:val="left"/>
        <w:rPr>
          <w:color w:val="17365D"/>
        </w:rPr>
      </w:pPr>
    </w:p>
    <w:p w:rsidR="00B46EAB" w:rsidRPr="007E624E" w:rsidRDefault="00B46EAB" w:rsidP="00B46EAB">
      <w:pPr>
        <w:spacing w:after="0" w:line="240" w:lineRule="auto"/>
        <w:jc w:val="left"/>
        <w:rPr>
          <w:color w:val="17365D"/>
        </w:rPr>
      </w:pPr>
    </w:p>
    <w:p w:rsidR="00B46EAB" w:rsidRPr="0008292A" w:rsidRDefault="00B46EAB" w:rsidP="00B46EAB">
      <w:pPr>
        <w:pStyle w:val="Paragraphedeliste"/>
        <w:numPr>
          <w:ilvl w:val="2"/>
          <w:numId w:val="0"/>
        </w:numPr>
        <w:rPr>
          <w:b/>
          <w:color w:val="262626" w:themeColor="text1" w:themeTint="D9"/>
        </w:rPr>
      </w:pPr>
      <w:r w:rsidRPr="00EA0DAD">
        <w:rPr>
          <w:b/>
          <w:color w:val="7A003C"/>
          <w:u w:val="single"/>
        </w:rPr>
        <w:t>Analyse théorique</w:t>
      </w:r>
      <w:r w:rsidRPr="00EA0DAD">
        <w:rPr>
          <w:b/>
          <w:color w:val="7A003C"/>
        </w:rPr>
        <w:t> :</w:t>
      </w:r>
      <w:r w:rsidRPr="00C7570B">
        <w:rPr>
          <w:b/>
          <w:color w:val="auto"/>
        </w:rPr>
        <w:t xml:space="preserve"> </w:t>
      </w:r>
      <w:r w:rsidRPr="0008292A">
        <w:rPr>
          <w:b/>
          <w:color w:val="262626" w:themeColor="text1" w:themeTint="D9"/>
        </w:rPr>
        <w:t>« Le dilemme de l’opticien »</w:t>
      </w:r>
    </w:p>
    <w:p w:rsidR="00B46EAB" w:rsidRDefault="00B46EAB" w:rsidP="00B46EAB">
      <w:pPr>
        <w:rPr>
          <w:color w:val="auto"/>
        </w:rPr>
        <w:sectPr w:rsidR="00B46EAB" w:rsidSect="00415E08">
          <w:type w:val="continuous"/>
          <w:pgSz w:w="11906" w:h="16838"/>
          <w:pgMar w:top="1928" w:right="1418" w:bottom="1135" w:left="993" w:header="709" w:footer="709" w:gutter="0"/>
          <w:cols w:space="708"/>
          <w:docGrid w:linePitch="360"/>
        </w:sectPr>
      </w:pPr>
    </w:p>
    <w:p w:rsidR="00B46EAB" w:rsidRDefault="00B46EAB" w:rsidP="00B46EAB">
      <w:pPr>
        <w:jc w:val="left"/>
        <w:rPr>
          <w:color w:val="auto"/>
        </w:rPr>
      </w:pPr>
    </w:p>
    <w:p w:rsidR="00B46EAB" w:rsidRDefault="00B46EAB" w:rsidP="00B46EAB">
      <w:pPr>
        <w:jc w:val="left"/>
        <w:rPr>
          <w:color w:val="262626" w:themeColor="text1" w:themeTint="D9"/>
          <w:sz w:val="20"/>
          <w:szCs w:val="20"/>
        </w:rPr>
        <w:sectPr w:rsidR="00B46EAB" w:rsidSect="00415E08">
          <w:type w:val="continuous"/>
          <w:pgSz w:w="11906" w:h="16838"/>
          <w:pgMar w:top="1928" w:right="1418" w:bottom="1135" w:left="993" w:header="709" w:footer="709" w:gutter="0"/>
          <w:cols w:space="708"/>
          <w:docGrid w:linePitch="360"/>
        </w:sectPr>
      </w:pPr>
    </w:p>
    <w:p w:rsidR="00B46EAB" w:rsidRPr="0008292A" w:rsidRDefault="00B46EAB" w:rsidP="00B46EAB">
      <w:pPr>
        <w:jc w:val="left"/>
        <w:rPr>
          <w:color w:val="262626" w:themeColor="text1" w:themeTint="D9"/>
          <w:sz w:val="20"/>
          <w:szCs w:val="20"/>
        </w:rPr>
      </w:pPr>
      <w:r w:rsidRPr="0008292A">
        <w:rPr>
          <w:color w:val="262626" w:themeColor="text1" w:themeTint="D9"/>
          <w:sz w:val="20"/>
          <w:szCs w:val="20"/>
        </w:rPr>
        <w:lastRenderedPageBreak/>
        <w:t xml:space="preserve">Si le système des réseaux est </w:t>
      </w:r>
      <w:r>
        <w:rPr>
          <w:color w:val="262626" w:themeColor="text1" w:themeTint="D9"/>
          <w:sz w:val="20"/>
          <w:szCs w:val="20"/>
        </w:rPr>
        <w:t>avantageux</w:t>
      </w:r>
      <w:r w:rsidRPr="0008292A">
        <w:rPr>
          <w:color w:val="262626" w:themeColor="text1" w:themeTint="D9"/>
          <w:sz w:val="20"/>
          <w:szCs w:val="20"/>
        </w:rPr>
        <w:t xml:space="preserve"> </w:t>
      </w:r>
      <w:r>
        <w:rPr>
          <w:color w:val="262626" w:themeColor="text1" w:themeTint="D9"/>
          <w:sz w:val="20"/>
          <w:szCs w:val="20"/>
        </w:rPr>
        <w:t>pour les</w:t>
      </w:r>
      <w:r w:rsidRPr="0008292A">
        <w:rPr>
          <w:color w:val="262626" w:themeColor="text1" w:themeTint="D9"/>
          <w:sz w:val="20"/>
          <w:szCs w:val="20"/>
        </w:rPr>
        <w:t xml:space="preserve"> assurés, la situation pour les professionnels de santé est plus contrastée. L’intérêt du conventionnement pour un opticien est d’élargir sa clientèle. Or, cela ne peut se faire qu’au détriment des magasins non conventionnés. Le système implique donc des « gagnants » et des « perdants ». </w:t>
      </w:r>
    </w:p>
    <w:p w:rsidR="00B46EAB" w:rsidRDefault="00B46EAB" w:rsidP="00B46EAB">
      <w:pPr>
        <w:jc w:val="left"/>
        <w:rPr>
          <w:color w:val="262626" w:themeColor="text1" w:themeTint="D9"/>
          <w:sz w:val="20"/>
          <w:szCs w:val="20"/>
        </w:rPr>
      </w:pPr>
      <w:r w:rsidRPr="0008292A">
        <w:rPr>
          <w:color w:val="262626" w:themeColor="text1" w:themeTint="D9"/>
          <w:sz w:val="20"/>
          <w:szCs w:val="20"/>
        </w:rPr>
        <w:t xml:space="preserve">Afin que l’entrée d’un opticien dans un réseau lui soit profitable, il est nécessaire que l’augmentation de son activité compense les réductions de prix consenties. Ainsi, en supposant que le « stock » d’assurés </w:t>
      </w:r>
      <w:r>
        <w:rPr>
          <w:color w:val="262626" w:themeColor="text1" w:themeTint="D9"/>
          <w:sz w:val="20"/>
          <w:szCs w:val="20"/>
        </w:rPr>
        <w:t>soit</w:t>
      </w:r>
      <w:r w:rsidRPr="0008292A">
        <w:rPr>
          <w:color w:val="262626" w:themeColor="text1" w:themeTint="D9"/>
          <w:sz w:val="20"/>
          <w:szCs w:val="20"/>
        </w:rPr>
        <w:t xml:space="preserve"> stable en France, </w:t>
      </w:r>
      <w:r>
        <w:rPr>
          <w:color w:val="262626" w:themeColor="text1" w:themeTint="D9"/>
          <w:sz w:val="20"/>
          <w:szCs w:val="20"/>
        </w:rPr>
        <w:t xml:space="preserve">l’avantage qu’en retire un opticien affilié est d’autant moindre que la taille du réseau est importante. </w:t>
      </w:r>
    </w:p>
    <w:p w:rsidR="00B46EAB" w:rsidRDefault="00B46EAB" w:rsidP="00B46EAB">
      <w:pPr>
        <w:jc w:val="left"/>
        <w:rPr>
          <w:color w:val="262626" w:themeColor="text1" w:themeTint="D9"/>
          <w:sz w:val="20"/>
          <w:szCs w:val="20"/>
        </w:rPr>
      </w:pPr>
      <w:r w:rsidRPr="0008292A">
        <w:rPr>
          <w:color w:val="262626" w:themeColor="text1" w:themeTint="D9"/>
          <w:sz w:val="20"/>
          <w:szCs w:val="20"/>
        </w:rPr>
        <w:t xml:space="preserve">Les professionnels de santé sont ainsi soumis à un problème bien connu en théorie des jeux : « le dilemme du prisonnier ». La théorie des jeux permet d’analyser les relations économiques et sociales sous la forme de jeux stratégiques. Cet outil d’analyse a de nombreuses applications et peut notamment s’appliquer aux choix des </w:t>
      </w:r>
      <w:r>
        <w:rPr>
          <w:color w:val="262626" w:themeColor="text1" w:themeTint="D9"/>
          <w:sz w:val="20"/>
          <w:szCs w:val="20"/>
        </w:rPr>
        <w:t>professionnels de santé</w:t>
      </w:r>
      <w:r w:rsidRPr="0008292A">
        <w:rPr>
          <w:color w:val="262626" w:themeColor="text1" w:themeTint="D9"/>
          <w:sz w:val="20"/>
          <w:szCs w:val="20"/>
        </w:rPr>
        <w:t xml:space="preserve"> quant à d’adhésion à un réseau. </w:t>
      </w:r>
    </w:p>
    <w:p w:rsidR="00B46EAB" w:rsidRPr="0008292A" w:rsidRDefault="00B46EAB" w:rsidP="00B46EAB">
      <w:pPr>
        <w:jc w:val="left"/>
        <w:rPr>
          <w:color w:val="262626" w:themeColor="text1" w:themeTint="D9"/>
          <w:sz w:val="20"/>
          <w:szCs w:val="20"/>
        </w:rPr>
      </w:pPr>
      <w:r w:rsidRPr="0008292A">
        <w:rPr>
          <w:color w:val="262626" w:themeColor="text1" w:themeTint="D9"/>
          <w:sz w:val="20"/>
          <w:szCs w:val="20"/>
        </w:rPr>
        <w:t>Une analyse par la théorie des jeux de la situation des opticiens</w:t>
      </w:r>
      <w:r>
        <w:rPr>
          <w:color w:val="262626" w:themeColor="text1" w:themeTint="D9"/>
          <w:sz w:val="20"/>
          <w:szCs w:val="20"/>
        </w:rPr>
        <w:t>-lunetiers</w:t>
      </w:r>
      <w:r w:rsidRPr="0008292A">
        <w:rPr>
          <w:color w:val="262626" w:themeColor="text1" w:themeTint="D9"/>
          <w:sz w:val="20"/>
          <w:szCs w:val="20"/>
        </w:rPr>
        <w:t xml:space="preserve"> fait ressortir une opposition entre l’intérêt individuel et l’intérêt collectif à court terme. </w:t>
      </w:r>
    </w:p>
    <w:p w:rsidR="00B46EAB" w:rsidRPr="0008292A" w:rsidRDefault="00B46EAB" w:rsidP="00B46EAB">
      <w:pPr>
        <w:jc w:val="left"/>
        <w:rPr>
          <w:color w:val="262626" w:themeColor="text1" w:themeTint="D9"/>
          <w:sz w:val="20"/>
          <w:szCs w:val="20"/>
        </w:rPr>
      </w:pPr>
      <w:r w:rsidRPr="0008292A">
        <w:rPr>
          <w:color w:val="262626" w:themeColor="text1" w:themeTint="D9"/>
          <w:sz w:val="20"/>
          <w:szCs w:val="20"/>
        </w:rPr>
        <w:lastRenderedPageBreak/>
        <w:t>En effet, individuellement, les opticiens ont intérêt à adhérer à un réseau pour accroître leur volume de ventes</w:t>
      </w:r>
      <w:r>
        <w:rPr>
          <w:color w:val="262626" w:themeColor="text1" w:themeTint="D9"/>
          <w:sz w:val="20"/>
          <w:szCs w:val="20"/>
        </w:rPr>
        <w:t xml:space="preserve">. Collectivement, ils n’y </w:t>
      </w:r>
      <w:r w:rsidRPr="0008292A">
        <w:rPr>
          <w:color w:val="262626" w:themeColor="text1" w:themeTint="D9"/>
          <w:sz w:val="20"/>
          <w:szCs w:val="20"/>
        </w:rPr>
        <w:t xml:space="preserve">ont cependant pas intérêt : lorsque la majorité d’entre eux sera conventionnée, l’augmentation escomptée de leur activité sera insuffisante pour compenser les baisses de prix consenties. </w:t>
      </w:r>
    </w:p>
    <w:p w:rsidR="00B46EAB" w:rsidRDefault="00B46EAB" w:rsidP="00B46EAB">
      <w:pPr>
        <w:jc w:val="left"/>
        <w:rPr>
          <w:color w:val="262626" w:themeColor="text1" w:themeTint="D9"/>
          <w:sz w:val="20"/>
          <w:szCs w:val="20"/>
        </w:rPr>
      </w:pPr>
      <w:r w:rsidRPr="0008292A">
        <w:rPr>
          <w:color w:val="262626" w:themeColor="text1" w:themeTint="D9"/>
          <w:sz w:val="20"/>
          <w:szCs w:val="20"/>
        </w:rPr>
        <w:t>Les opticiens</w:t>
      </w:r>
      <w:r>
        <w:rPr>
          <w:color w:val="262626" w:themeColor="text1" w:themeTint="D9"/>
          <w:sz w:val="20"/>
          <w:szCs w:val="20"/>
        </w:rPr>
        <w:t>-lunetiers</w:t>
      </w:r>
      <w:r w:rsidRPr="0008292A">
        <w:rPr>
          <w:color w:val="262626" w:themeColor="text1" w:themeTint="D9"/>
          <w:sz w:val="20"/>
          <w:szCs w:val="20"/>
        </w:rPr>
        <w:t xml:space="preserve"> étant en concurrence entre eux, ils n’ont pas la possibilité de s’entendre sur une décision collective. </w:t>
      </w:r>
      <w:r>
        <w:rPr>
          <w:color w:val="262626" w:themeColor="text1" w:themeTint="D9"/>
          <w:sz w:val="20"/>
          <w:szCs w:val="20"/>
        </w:rPr>
        <w:t>Et même à supposer qu’une entente soit conclue, l’incitation à jouer un rôle de « passager clandestin » en bravant cette entente pour adhérer à un réseau serait très forte.</w:t>
      </w:r>
    </w:p>
    <w:p w:rsidR="00B46EAB" w:rsidRPr="0008292A" w:rsidRDefault="00B46EAB" w:rsidP="00B46EAB">
      <w:pPr>
        <w:jc w:val="left"/>
        <w:rPr>
          <w:color w:val="262626" w:themeColor="text1" w:themeTint="D9"/>
          <w:sz w:val="20"/>
          <w:szCs w:val="20"/>
        </w:rPr>
      </w:pPr>
      <w:r w:rsidRPr="0008292A">
        <w:rPr>
          <w:color w:val="262626" w:themeColor="text1" w:themeTint="D9"/>
          <w:sz w:val="20"/>
          <w:szCs w:val="20"/>
        </w:rPr>
        <w:t xml:space="preserve">Selon ce schéma théorique, </w:t>
      </w:r>
      <w:r>
        <w:rPr>
          <w:color w:val="262626" w:themeColor="text1" w:themeTint="D9"/>
          <w:sz w:val="20"/>
          <w:szCs w:val="20"/>
        </w:rPr>
        <w:t xml:space="preserve">dans un horizon de court terme, l’incitation pour les opticiens à se conventionner est forte, même si cela diminue la taille totale du marché en valeur </w:t>
      </w:r>
      <w:r w:rsidRPr="00304315">
        <w:rPr>
          <w:i/>
          <w:color w:val="262626" w:themeColor="text1" w:themeTint="D9"/>
          <w:sz w:val="20"/>
          <w:szCs w:val="20"/>
        </w:rPr>
        <w:t>via</w:t>
      </w:r>
      <w:r>
        <w:rPr>
          <w:color w:val="262626" w:themeColor="text1" w:themeTint="D9"/>
          <w:sz w:val="20"/>
          <w:szCs w:val="20"/>
        </w:rPr>
        <w:t xml:space="preserve"> la baisse des prix. En revanche, dans un horizon de long terme, le conventionnement concourt à la </w:t>
      </w:r>
      <w:proofErr w:type="spellStart"/>
      <w:r>
        <w:rPr>
          <w:color w:val="262626" w:themeColor="text1" w:themeTint="D9"/>
          <w:sz w:val="20"/>
          <w:szCs w:val="20"/>
        </w:rPr>
        <w:t>solvabilisation</w:t>
      </w:r>
      <w:proofErr w:type="spellEnd"/>
      <w:r>
        <w:rPr>
          <w:color w:val="262626" w:themeColor="text1" w:themeTint="D9"/>
          <w:sz w:val="20"/>
          <w:szCs w:val="20"/>
        </w:rPr>
        <w:t xml:space="preserve"> du système français de santé, ce qui bénéficie à l’ensemble des opticiens-lunetiers (voir encadré suivant).</w:t>
      </w:r>
    </w:p>
    <w:p w:rsidR="00B46EAB" w:rsidRDefault="00B46EAB" w:rsidP="00B46EAB">
      <w:pPr>
        <w:pStyle w:val="Titre2"/>
        <w:keepNext w:val="0"/>
        <w:keepLines w:val="0"/>
        <w:spacing w:before="0" w:after="120" w:line="240" w:lineRule="auto"/>
        <w:ind w:left="703" w:right="3544" w:hanging="703"/>
        <w:rPr>
          <w:rFonts w:eastAsiaTheme="minorHAnsi" w:cstheme="minorBidi"/>
          <w:bCs w:val="0"/>
          <w:color w:val="7A003C"/>
          <w:sz w:val="18"/>
          <w:szCs w:val="18"/>
        </w:rPr>
        <w:sectPr w:rsidR="00B46EAB" w:rsidSect="00B46EAB">
          <w:type w:val="continuous"/>
          <w:pgSz w:w="11906" w:h="16838"/>
          <w:pgMar w:top="1928" w:right="1418" w:bottom="1135" w:left="993" w:header="709" w:footer="709" w:gutter="0"/>
          <w:cols w:num="2" w:space="708"/>
          <w:docGrid w:linePitch="360"/>
        </w:sectPr>
      </w:pPr>
    </w:p>
    <w:p w:rsidR="00B46EAB" w:rsidRDefault="00B46EAB" w:rsidP="00B46EAB">
      <w:pPr>
        <w:pStyle w:val="Titre2"/>
        <w:keepNext w:val="0"/>
        <w:keepLines w:val="0"/>
        <w:spacing w:before="0" w:after="120" w:line="240" w:lineRule="auto"/>
        <w:ind w:left="703" w:right="3544" w:hanging="703"/>
        <w:rPr>
          <w:rFonts w:eastAsiaTheme="minorHAnsi" w:cstheme="minorBidi"/>
          <w:bCs w:val="0"/>
          <w:color w:val="7A003C"/>
          <w:sz w:val="18"/>
          <w:szCs w:val="18"/>
        </w:rPr>
      </w:pPr>
    </w:p>
    <w:p w:rsidR="00B46EAB" w:rsidRDefault="00B46EAB" w:rsidP="00B46EAB">
      <w:pPr>
        <w:pStyle w:val="Titre2"/>
        <w:keepNext w:val="0"/>
        <w:keepLines w:val="0"/>
        <w:spacing w:before="0" w:after="120" w:line="240" w:lineRule="auto"/>
        <w:ind w:left="703" w:right="3544" w:hanging="703"/>
        <w:rPr>
          <w:rFonts w:eastAsiaTheme="minorHAnsi" w:cstheme="minorBidi"/>
          <w:bCs w:val="0"/>
          <w:color w:val="7A003C"/>
          <w:sz w:val="18"/>
          <w:szCs w:val="18"/>
        </w:rPr>
      </w:pPr>
    </w:p>
    <w:p w:rsidR="00B46EAB" w:rsidRDefault="00B46EAB" w:rsidP="00B46EAB">
      <w:pPr>
        <w:pStyle w:val="Titre2"/>
        <w:keepNext w:val="0"/>
        <w:keepLines w:val="0"/>
        <w:spacing w:before="0" w:after="120" w:line="240" w:lineRule="auto"/>
        <w:ind w:left="703" w:right="3544" w:hanging="703"/>
        <w:rPr>
          <w:rFonts w:eastAsiaTheme="minorHAnsi" w:cstheme="minorBidi"/>
          <w:bCs w:val="0"/>
          <w:color w:val="7A003C"/>
          <w:sz w:val="18"/>
          <w:szCs w:val="18"/>
        </w:rPr>
      </w:pPr>
    </w:p>
    <w:p w:rsidR="00B46EAB" w:rsidRDefault="00B46EAB" w:rsidP="00B46EAB">
      <w:pPr>
        <w:pStyle w:val="Titre2"/>
        <w:keepNext w:val="0"/>
        <w:keepLines w:val="0"/>
        <w:spacing w:before="0" w:after="120" w:line="240" w:lineRule="auto"/>
        <w:ind w:left="703" w:right="3544" w:hanging="703"/>
        <w:rPr>
          <w:rFonts w:eastAsiaTheme="minorHAnsi" w:cstheme="minorBidi"/>
          <w:bCs w:val="0"/>
          <w:color w:val="7A003C"/>
          <w:sz w:val="18"/>
          <w:szCs w:val="18"/>
        </w:rPr>
      </w:pPr>
    </w:p>
    <w:p w:rsidR="00B46EAB" w:rsidRDefault="00B46EAB" w:rsidP="00B46EAB"/>
    <w:p w:rsidR="00B46EAB" w:rsidRDefault="00B46EAB" w:rsidP="00B46EAB"/>
    <w:p w:rsidR="00B46EAB" w:rsidRDefault="00B46EAB" w:rsidP="00B46EAB"/>
    <w:p w:rsidR="006E6CDC" w:rsidRDefault="006E6CDC" w:rsidP="00B46EAB"/>
    <w:p w:rsidR="00B46EAB" w:rsidRDefault="00F86138" w:rsidP="00B46EAB">
      <w:r>
        <w:rPr>
          <w:noProof/>
          <w:lang w:eastAsia="fr-FR"/>
        </w:rPr>
        <w:lastRenderedPageBreak/>
        <w:pict>
          <v:rect id="_x0000_s1080" style="position:absolute;left:0;text-align:left;margin-left:-51.2pt;margin-top:16.75pt;width:600pt;height:627pt;z-index:251730944" fillcolor="#f2f2f2 [3052]" strokeweight="1pt">
            <v:stroke dashstyle="1 1" endcap="round"/>
            <v:textbox style="mso-next-textbox:#_x0000_s1080">
              <w:txbxContent>
                <w:p w:rsidR="00144D6D" w:rsidRPr="0008292A" w:rsidRDefault="00144D6D" w:rsidP="00EA0DAD">
                  <w:pPr>
                    <w:pStyle w:val="Textedebase"/>
                    <w:spacing w:before="360"/>
                    <w:ind w:left="992" w:right="176"/>
                    <w:jc w:val="left"/>
                    <w:rPr>
                      <w:b/>
                      <w:sz w:val="18"/>
                      <w:szCs w:val="18"/>
                    </w:rPr>
                  </w:pPr>
                  <w:r>
                    <w:rPr>
                      <w:color w:val="7A003C"/>
                      <w:sz w:val="18"/>
                      <w:szCs w:val="18"/>
                    </w:rPr>
                    <w:t>Encadré 5</w:t>
                  </w:r>
                  <w:r w:rsidRPr="009E3627">
                    <w:rPr>
                      <w:color w:val="7A003C"/>
                      <w:sz w:val="18"/>
                      <w:szCs w:val="18"/>
                    </w:rPr>
                    <w:t>.</w:t>
                  </w:r>
                  <w:r w:rsidRPr="009E3627">
                    <w:rPr>
                      <w:color w:val="7A003C"/>
                      <w:sz w:val="18"/>
                      <w:szCs w:val="18"/>
                    </w:rPr>
                    <w:tab/>
                  </w:r>
                  <w:r w:rsidRPr="0008292A">
                    <w:rPr>
                      <w:b/>
                      <w:sz w:val="18"/>
                      <w:szCs w:val="18"/>
                    </w:rPr>
                    <w:t xml:space="preserve"> </w:t>
                  </w:r>
                  <w:r w:rsidRPr="0008292A">
                    <w:rPr>
                      <w:b/>
                      <w:szCs w:val="20"/>
                    </w:rPr>
                    <w:t>Le dilemme du prisonnier appliqué aux opticiens</w:t>
                  </w:r>
                  <w:r w:rsidRPr="0008292A">
                    <w:rPr>
                      <w:b/>
                      <w:sz w:val="18"/>
                      <w:szCs w:val="18"/>
                    </w:rPr>
                    <w:t xml:space="preserve"> </w:t>
                  </w:r>
                </w:p>
                <w:p w:rsidR="00144D6D" w:rsidRPr="0008292A" w:rsidRDefault="00144D6D" w:rsidP="00EA0DAD">
                  <w:pPr>
                    <w:spacing w:after="120"/>
                    <w:ind w:left="851" w:right="1479"/>
                    <w:rPr>
                      <w:color w:val="262626" w:themeColor="text1" w:themeTint="D9"/>
                      <w:sz w:val="18"/>
                      <w:szCs w:val="18"/>
                    </w:rPr>
                  </w:pPr>
                  <w:r w:rsidRPr="0008292A">
                    <w:rPr>
                      <w:color w:val="262626" w:themeColor="text1" w:themeTint="D9"/>
                      <w:sz w:val="18"/>
                      <w:szCs w:val="18"/>
                    </w:rPr>
                    <w:t xml:space="preserve">Parfois, la recherche par chacun de son intérêt personnel aboutit à une situation collectivement sous-optimale. Dans les années </w:t>
                  </w:r>
                  <w:r>
                    <w:rPr>
                      <w:color w:val="262626" w:themeColor="text1" w:themeTint="D9"/>
                      <w:sz w:val="18"/>
                      <w:szCs w:val="18"/>
                    </w:rPr>
                    <w:t>1950</w:t>
                  </w:r>
                  <w:r w:rsidRPr="0008292A">
                    <w:rPr>
                      <w:color w:val="262626" w:themeColor="text1" w:themeTint="D9"/>
                      <w:sz w:val="18"/>
                      <w:szCs w:val="18"/>
                    </w:rPr>
                    <w:t>, A. W. Tucker formalise ce résultat en prenant l’exemple de deux prisonniers. Le cas des opticiens et des réseaux conventionnés constitu</w:t>
                  </w:r>
                  <w:r>
                    <w:rPr>
                      <w:color w:val="262626" w:themeColor="text1" w:themeTint="D9"/>
                      <w:sz w:val="18"/>
                      <w:szCs w:val="18"/>
                    </w:rPr>
                    <w:t>e une intéressante illustration du dilemme du prisonnier.</w:t>
                  </w:r>
                </w:p>
                <w:p w:rsidR="00144D6D" w:rsidRPr="0008292A" w:rsidRDefault="00144D6D" w:rsidP="00EA0DAD">
                  <w:pPr>
                    <w:spacing w:after="100"/>
                    <w:ind w:left="851" w:right="1479"/>
                    <w:rPr>
                      <w:color w:val="262626" w:themeColor="text1" w:themeTint="D9"/>
                      <w:sz w:val="18"/>
                      <w:szCs w:val="18"/>
                    </w:rPr>
                  </w:pPr>
                  <w:r w:rsidRPr="0008292A">
                    <w:rPr>
                      <w:color w:val="262626" w:themeColor="text1" w:themeTint="D9"/>
                      <w:sz w:val="18"/>
                      <w:szCs w:val="18"/>
                    </w:rPr>
                    <w:t xml:space="preserve">Supposons un marché fictif de l’optique de 10 millions d’euros, où deux opticiens, possédant chacun la moitié du marché, se font concurrence. </w:t>
                  </w:r>
                </w:p>
                <w:p w:rsidR="00144D6D" w:rsidRPr="0008292A" w:rsidRDefault="00144D6D" w:rsidP="00EA0DAD">
                  <w:pPr>
                    <w:spacing w:after="100"/>
                    <w:ind w:left="851" w:right="1479"/>
                    <w:rPr>
                      <w:color w:val="262626" w:themeColor="text1" w:themeTint="D9"/>
                      <w:sz w:val="18"/>
                      <w:szCs w:val="18"/>
                    </w:rPr>
                  </w:pPr>
                  <w:r w:rsidRPr="0008292A">
                    <w:rPr>
                      <w:color w:val="262626" w:themeColor="text1" w:themeTint="D9"/>
                      <w:sz w:val="18"/>
                      <w:szCs w:val="18"/>
                    </w:rPr>
                    <w:t xml:space="preserve">Ils sont confrontés au choix stratégique suivant : signer ou non un partenariat avec une assurance santé. En acceptant le partenariat, ils sont tenus de réduire leurs tarifs mais peuvent espérer attirer la clientèle du concurrent. </w:t>
                  </w:r>
                </w:p>
                <w:p w:rsidR="00144D6D" w:rsidRPr="0008292A" w:rsidRDefault="00144D6D" w:rsidP="00EA0DAD">
                  <w:pPr>
                    <w:spacing w:after="100"/>
                    <w:ind w:left="851" w:right="1479"/>
                    <w:rPr>
                      <w:color w:val="262626" w:themeColor="text1" w:themeTint="D9"/>
                      <w:sz w:val="18"/>
                      <w:szCs w:val="18"/>
                    </w:rPr>
                  </w:pPr>
                  <w:r w:rsidRPr="0008292A">
                    <w:rPr>
                      <w:color w:val="262626" w:themeColor="text1" w:themeTint="D9"/>
                      <w:sz w:val="18"/>
                      <w:szCs w:val="18"/>
                    </w:rPr>
                    <w:t>Au moment de prendre leur décision, les deux opticiens, en situation de concurrence, ne peuvent se concerter. A supposer qu’un accord puisse être conclu entre eux, celui-ci ne peut être durable : chaque opticien aurait un intérêt fort à trahir l’accord pour devenir un « cavalier solitaire ». En effet, la trahison leur permettrait d’atteindre un profit maximum. Cette situation rend improbable toute concertation.</w:t>
                  </w:r>
                </w:p>
                <w:p w:rsidR="00144D6D" w:rsidRPr="0008292A" w:rsidRDefault="00144D6D" w:rsidP="00EA0DAD">
                  <w:pPr>
                    <w:spacing w:after="100"/>
                    <w:ind w:left="851" w:right="1479"/>
                    <w:rPr>
                      <w:color w:val="262626" w:themeColor="text1" w:themeTint="D9"/>
                      <w:sz w:val="18"/>
                      <w:szCs w:val="18"/>
                    </w:rPr>
                  </w:pPr>
                  <w:r w:rsidRPr="0008292A">
                    <w:rPr>
                      <w:color w:val="262626" w:themeColor="text1" w:themeTint="D9"/>
                      <w:sz w:val="18"/>
                      <w:szCs w:val="18"/>
                    </w:rPr>
                    <w:t>Au terme du jeu décrit ci-dessus, trois situations sont envisageables :</w:t>
                  </w:r>
                </w:p>
                <w:p w:rsidR="00144D6D" w:rsidRPr="0008292A" w:rsidRDefault="00144D6D" w:rsidP="00C020D6">
                  <w:pPr>
                    <w:pStyle w:val="Paragraphedeliste"/>
                    <w:numPr>
                      <w:ilvl w:val="0"/>
                      <w:numId w:val="3"/>
                    </w:numPr>
                    <w:spacing w:after="100"/>
                    <w:ind w:left="1418" w:right="1479"/>
                    <w:contextualSpacing w:val="0"/>
                    <w:rPr>
                      <w:color w:val="262626" w:themeColor="text1" w:themeTint="D9"/>
                      <w:sz w:val="18"/>
                      <w:szCs w:val="18"/>
                    </w:rPr>
                  </w:pPr>
                  <w:r w:rsidRPr="0008292A">
                    <w:rPr>
                      <w:b/>
                      <w:color w:val="262626" w:themeColor="text1" w:themeTint="D9"/>
                      <w:sz w:val="18"/>
                      <w:szCs w:val="18"/>
                    </w:rPr>
                    <w:t>Aucun des deux opticiens ne signe de partenariat</w:t>
                  </w:r>
                  <w:r w:rsidRPr="0008292A">
                    <w:rPr>
                      <w:color w:val="262626" w:themeColor="text1" w:themeTint="D9"/>
                      <w:sz w:val="18"/>
                      <w:szCs w:val="18"/>
                    </w:rPr>
                    <w:t xml:space="preserve"> : leur situation n’évolue pas. Leurs </w:t>
                  </w:r>
                  <w:r>
                    <w:rPr>
                      <w:color w:val="262626" w:themeColor="text1" w:themeTint="D9"/>
                      <w:sz w:val="18"/>
                      <w:szCs w:val="18"/>
                    </w:rPr>
                    <w:t>« </w:t>
                  </w:r>
                  <w:r w:rsidRPr="0008292A">
                    <w:rPr>
                      <w:color w:val="262626" w:themeColor="text1" w:themeTint="D9"/>
                      <w:sz w:val="18"/>
                      <w:szCs w:val="18"/>
                    </w:rPr>
                    <w:t>gains</w:t>
                  </w:r>
                  <w:r>
                    <w:rPr>
                      <w:color w:val="262626" w:themeColor="text1" w:themeTint="D9"/>
                      <w:sz w:val="18"/>
                      <w:szCs w:val="18"/>
                    </w:rPr>
                    <w:t xml:space="preserve"> » </w:t>
                  </w:r>
                  <w:r w:rsidRPr="0008292A">
                    <w:rPr>
                      <w:color w:val="262626" w:themeColor="text1" w:themeTint="D9"/>
                      <w:sz w:val="18"/>
                      <w:szCs w:val="18"/>
                    </w:rPr>
                    <w:t xml:space="preserve">sont stables (5 millions d’euros </w:t>
                  </w:r>
                  <w:r>
                    <w:rPr>
                      <w:color w:val="262626" w:themeColor="text1" w:themeTint="D9"/>
                      <w:sz w:val="18"/>
                      <w:szCs w:val="18"/>
                    </w:rPr>
                    <w:t xml:space="preserve">de chiffre d’affaires </w:t>
                  </w:r>
                  <w:r w:rsidRPr="0008292A">
                    <w:rPr>
                      <w:color w:val="262626" w:themeColor="text1" w:themeTint="D9"/>
                      <w:sz w:val="18"/>
                      <w:szCs w:val="18"/>
                    </w:rPr>
                    <w:t>chacun) ;</w:t>
                  </w:r>
                </w:p>
                <w:p w:rsidR="00144D6D" w:rsidRPr="0008292A" w:rsidRDefault="00144D6D" w:rsidP="00C020D6">
                  <w:pPr>
                    <w:pStyle w:val="Paragraphedeliste"/>
                    <w:numPr>
                      <w:ilvl w:val="0"/>
                      <w:numId w:val="3"/>
                    </w:numPr>
                    <w:spacing w:after="100"/>
                    <w:ind w:left="1418" w:right="1479"/>
                    <w:contextualSpacing w:val="0"/>
                    <w:rPr>
                      <w:color w:val="262626" w:themeColor="text1" w:themeTint="D9"/>
                      <w:sz w:val="18"/>
                      <w:szCs w:val="18"/>
                    </w:rPr>
                  </w:pPr>
                  <w:r w:rsidRPr="0008292A">
                    <w:rPr>
                      <w:b/>
                      <w:color w:val="262626" w:themeColor="text1" w:themeTint="D9"/>
                      <w:sz w:val="18"/>
                      <w:szCs w:val="18"/>
                    </w:rPr>
                    <w:t>L’un signe, l’autre non :</w:t>
                  </w:r>
                  <w:r w:rsidRPr="0008292A">
                    <w:rPr>
                      <w:color w:val="262626" w:themeColor="text1" w:themeTint="D9"/>
                      <w:sz w:val="18"/>
                      <w:szCs w:val="18"/>
                    </w:rPr>
                    <w:t xml:space="preserve"> l’opticien conventionné baisse ses prix et attire une nouvelle clientèle, ce qui lui permet </w:t>
                  </w:r>
                  <w:r>
                    <w:rPr>
                      <w:color w:val="262626" w:themeColor="text1" w:themeTint="D9"/>
                      <w:sz w:val="18"/>
                      <w:szCs w:val="18"/>
                    </w:rPr>
                    <w:t>d’</w:t>
                  </w:r>
                  <w:r w:rsidRPr="0008292A">
                    <w:rPr>
                      <w:color w:val="262626" w:themeColor="text1" w:themeTint="D9"/>
                      <w:sz w:val="18"/>
                      <w:szCs w:val="18"/>
                    </w:rPr>
                    <w:t>accroître malgr</w:t>
                  </w:r>
                  <w:r>
                    <w:rPr>
                      <w:color w:val="262626" w:themeColor="text1" w:themeTint="D9"/>
                      <w:sz w:val="18"/>
                      <w:szCs w:val="18"/>
                    </w:rPr>
                    <w:t>é tout son chiffre d’affaires (7</w:t>
                  </w:r>
                  <w:r w:rsidRPr="0008292A">
                    <w:rPr>
                      <w:color w:val="262626" w:themeColor="text1" w:themeTint="D9"/>
                      <w:sz w:val="18"/>
                      <w:szCs w:val="18"/>
                    </w:rPr>
                    <w:t xml:space="preserve"> millions d’euros). L’autre perd des clients et voit</w:t>
                  </w:r>
                  <w:r w:rsidRPr="0008292A">
                    <w:rPr>
                      <w:b/>
                      <w:color w:val="262626" w:themeColor="text1" w:themeTint="D9"/>
                      <w:sz w:val="18"/>
                      <w:szCs w:val="18"/>
                    </w:rPr>
                    <w:t xml:space="preserve"> </w:t>
                  </w:r>
                  <w:r w:rsidRPr="0008292A">
                    <w:rPr>
                      <w:color w:val="262626" w:themeColor="text1" w:themeTint="D9"/>
                      <w:sz w:val="18"/>
                      <w:szCs w:val="18"/>
                    </w:rPr>
                    <w:t xml:space="preserve">son chiffre d’affaires se réduire en conséquence (2 millions d’euros). Le marché </w:t>
                  </w:r>
                  <w:r>
                    <w:rPr>
                      <w:color w:val="262626" w:themeColor="text1" w:themeTint="D9"/>
                      <w:sz w:val="18"/>
                      <w:szCs w:val="18"/>
                    </w:rPr>
                    <w:t>total se réduit à</w:t>
                  </w:r>
                  <w:r w:rsidRPr="0008292A">
                    <w:rPr>
                      <w:color w:val="262626" w:themeColor="text1" w:themeTint="D9"/>
                      <w:sz w:val="18"/>
                      <w:szCs w:val="18"/>
                    </w:rPr>
                    <w:t xml:space="preserve"> 8 millions d’euros car l’un des opticiens a réduit ses prix.</w:t>
                  </w:r>
                </w:p>
                <w:p w:rsidR="00144D6D" w:rsidRPr="0008292A" w:rsidRDefault="00144D6D" w:rsidP="00C020D6">
                  <w:pPr>
                    <w:pStyle w:val="Paragraphedeliste"/>
                    <w:numPr>
                      <w:ilvl w:val="0"/>
                      <w:numId w:val="3"/>
                    </w:numPr>
                    <w:spacing w:after="100"/>
                    <w:ind w:left="1418" w:right="1479"/>
                    <w:contextualSpacing w:val="0"/>
                    <w:rPr>
                      <w:color w:val="262626" w:themeColor="text1" w:themeTint="D9"/>
                      <w:sz w:val="18"/>
                      <w:szCs w:val="18"/>
                    </w:rPr>
                  </w:pPr>
                  <w:r w:rsidRPr="0008292A">
                    <w:rPr>
                      <w:b/>
                      <w:color w:val="262626" w:themeColor="text1" w:themeTint="D9"/>
                      <w:sz w:val="18"/>
                      <w:szCs w:val="18"/>
                    </w:rPr>
                    <w:t>Les deux opticiens signent la convention de partenariat :</w:t>
                  </w:r>
                  <w:r w:rsidRPr="0008292A">
                    <w:rPr>
                      <w:color w:val="262626" w:themeColor="text1" w:themeTint="D9"/>
                      <w:sz w:val="18"/>
                      <w:szCs w:val="18"/>
                    </w:rPr>
                    <w:t xml:space="preserve"> ils sont tou</w:t>
                  </w:r>
                  <w:r>
                    <w:rPr>
                      <w:color w:val="262626" w:themeColor="text1" w:themeTint="D9"/>
                      <w:sz w:val="18"/>
                      <w:szCs w:val="18"/>
                    </w:rPr>
                    <w:t>s</w:t>
                  </w:r>
                  <w:r w:rsidRPr="0008292A">
                    <w:rPr>
                      <w:color w:val="262626" w:themeColor="text1" w:themeTint="D9"/>
                      <w:sz w:val="18"/>
                      <w:szCs w:val="18"/>
                    </w:rPr>
                    <w:t xml:space="preserve"> deux tenus de baisser leurs prix. Leur volume de clients est stable car les assurés n’ont pas d’incitation à changer d’opticien. En ligne avec la réduction des tarifs, le chiffre d’affaires d</w:t>
                  </w:r>
                  <w:r>
                    <w:rPr>
                      <w:color w:val="262626" w:themeColor="text1" w:themeTint="D9"/>
                      <w:sz w:val="18"/>
                      <w:szCs w:val="18"/>
                    </w:rPr>
                    <w:t>es deux professionnels baisse (4</w:t>
                  </w:r>
                  <w:r w:rsidRPr="0008292A">
                    <w:rPr>
                      <w:color w:val="262626" w:themeColor="text1" w:themeTint="D9"/>
                      <w:sz w:val="18"/>
                      <w:szCs w:val="18"/>
                    </w:rPr>
                    <w:t xml:space="preserve"> millions d’euros chacun).</w:t>
                  </w:r>
                </w:p>
                <w:p w:rsidR="00144D6D" w:rsidRPr="0008292A" w:rsidRDefault="00144D6D" w:rsidP="00EA0DAD">
                  <w:pPr>
                    <w:ind w:left="851" w:right="1479"/>
                    <w:rPr>
                      <w:color w:val="262626" w:themeColor="text1" w:themeTint="D9"/>
                      <w:sz w:val="18"/>
                      <w:szCs w:val="18"/>
                    </w:rPr>
                  </w:pPr>
                  <w:r w:rsidRPr="0008292A">
                    <w:rPr>
                      <w:color w:val="262626" w:themeColor="text1" w:themeTint="D9"/>
                      <w:sz w:val="18"/>
                      <w:szCs w:val="18"/>
                    </w:rPr>
                    <w:t>Ces situations sont résumées dans le tableau des gains suivant :</w:t>
                  </w:r>
                </w:p>
                <w:tbl>
                  <w:tblPr>
                    <w:tblStyle w:val="Grilledutableau"/>
                    <w:tblW w:w="0" w:type="auto"/>
                    <w:jc w:val="center"/>
                    <w:tblInd w:w="176"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Pr>
                  <w:tblGrid>
                    <w:gridCol w:w="1191"/>
                    <w:gridCol w:w="1446"/>
                    <w:gridCol w:w="1446"/>
                    <w:gridCol w:w="1446"/>
                  </w:tblGrid>
                  <w:tr w:rsidR="00144D6D" w:rsidRPr="0008292A" w:rsidTr="00EA0DAD">
                    <w:trPr>
                      <w:jc w:val="center"/>
                    </w:trPr>
                    <w:tc>
                      <w:tcPr>
                        <w:tcW w:w="119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44D6D" w:rsidRPr="0008292A" w:rsidRDefault="00144D6D" w:rsidP="00964C2C">
                        <w:pPr>
                          <w:ind w:right="176"/>
                          <w:jc w:val="center"/>
                          <w:rPr>
                            <w:color w:val="262626" w:themeColor="text1" w:themeTint="D9"/>
                            <w:sz w:val="18"/>
                            <w:szCs w:val="18"/>
                          </w:rPr>
                        </w:pPr>
                      </w:p>
                    </w:tc>
                    <w:tc>
                      <w:tcPr>
                        <w:tcW w:w="4338" w:type="dxa"/>
                        <w:gridSpan w:val="3"/>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44D6D" w:rsidRPr="0008292A" w:rsidRDefault="00144D6D" w:rsidP="00964C2C">
                        <w:pPr>
                          <w:ind w:right="176"/>
                          <w:jc w:val="center"/>
                          <w:rPr>
                            <w:color w:val="262626" w:themeColor="text1" w:themeTint="D9"/>
                            <w:sz w:val="18"/>
                            <w:szCs w:val="18"/>
                          </w:rPr>
                        </w:pPr>
                        <w:r w:rsidRPr="0008292A">
                          <w:rPr>
                            <w:color w:val="262626" w:themeColor="text1" w:themeTint="D9"/>
                            <w:sz w:val="18"/>
                            <w:szCs w:val="18"/>
                          </w:rPr>
                          <w:t>Opticien 1</w:t>
                        </w:r>
                      </w:p>
                    </w:tc>
                  </w:tr>
                  <w:tr w:rsidR="00144D6D" w:rsidRPr="0008292A" w:rsidTr="00EA0DAD">
                    <w:trPr>
                      <w:jc w:val="center"/>
                    </w:trPr>
                    <w:tc>
                      <w:tcPr>
                        <w:tcW w:w="1191" w:type="dxa"/>
                        <w:vMerge w:val="restart"/>
                        <w:tcBorders>
                          <w:top w:val="single" w:sz="4" w:space="0" w:color="262626" w:themeColor="text1" w:themeTint="D9"/>
                          <w:left w:val="single" w:sz="4" w:space="0" w:color="262626" w:themeColor="text1" w:themeTint="D9"/>
                          <w:right w:val="single" w:sz="4" w:space="0" w:color="262626" w:themeColor="text1" w:themeTint="D9"/>
                        </w:tcBorders>
                        <w:vAlign w:val="center"/>
                      </w:tcPr>
                      <w:p w:rsidR="00144D6D" w:rsidRPr="0008292A" w:rsidRDefault="00144D6D" w:rsidP="00144D6D">
                        <w:pPr>
                          <w:ind w:right="53"/>
                          <w:jc w:val="center"/>
                          <w:rPr>
                            <w:color w:val="262626" w:themeColor="text1" w:themeTint="D9"/>
                            <w:sz w:val="18"/>
                            <w:szCs w:val="18"/>
                          </w:rPr>
                        </w:pPr>
                        <w:r w:rsidRPr="0008292A">
                          <w:rPr>
                            <w:color w:val="262626" w:themeColor="text1" w:themeTint="D9"/>
                            <w:sz w:val="18"/>
                            <w:szCs w:val="18"/>
                          </w:rPr>
                          <w:t>Opticien 2</w:t>
                        </w:r>
                      </w:p>
                    </w:tc>
                    <w:tc>
                      <w:tcPr>
                        <w:tcW w:w="1446"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44D6D" w:rsidRPr="0008292A" w:rsidRDefault="00144D6D" w:rsidP="00964C2C">
                        <w:pPr>
                          <w:ind w:right="176"/>
                          <w:jc w:val="center"/>
                          <w:rPr>
                            <w:color w:val="262626" w:themeColor="text1" w:themeTint="D9"/>
                            <w:sz w:val="18"/>
                            <w:szCs w:val="18"/>
                          </w:rPr>
                        </w:pPr>
                      </w:p>
                    </w:tc>
                    <w:tc>
                      <w:tcPr>
                        <w:tcW w:w="1446"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44D6D" w:rsidRPr="0008292A" w:rsidRDefault="00144D6D" w:rsidP="00EA0DAD">
                        <w:pPr>
                          <w:jc w:val="center"/>
                          <w:rPr>
                            <w:color w:val="262626" w:themeColor="text1" w:themeTint="D9"/>
                            <w:sz w:val="18"/>
                            <w:szCs w:val="18"/>
                          </w:rPr>
                        </w:pPr>
                        <w:r w:rsidRPr="0008292A">
                          <w:rPr>
                            <w:color w:val="262626" w:themeColor="text1" w:themeTint="D9"/>
                            <w:sz w:val="18"/>
                            <w:szCs w:val="18"/>
                          </w:rPr>
                          <w:t>Ne signe pas</w:t>
                        </w:r>
                      </w:p>
                    </w:tc>
                    <w:tc>
                      <w:tcPr>
                        <w:tcW w:w="1446"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44D6D" w:rsidRPr="0008292A" w:rsidRDefault="00144D6D" w:rsidP="00EA0DAD">
                        <w:pPr>
                          <w:ind w:right="-3"/>
                          <w:jc w:val="center"/>
                          <w:rPr>
                            <w:color w:val="262626" w:themeColor="text1" w:themeTint="D9"/>
                            <w:sz w:val="18"/>
                            <w:szCs w:val="18"/>
                          </w:rPr>
                        </w:pPr>
                        <w:r w:rsidRPr="0008292A">
                          <w:rPr>
                            <w:color w:val="262626" w:themeColor="text1" w:themeTint="D9"/>
                            <w:sz w:val="18"/>
                            <w:szCs w:val="18"/>
                          </w:rPr>
                          <w:t>Signe</w:t>
                        </w:r>
                      </w:p>
                    </w:tc>
                  </w:tr>
                  <w:tr w:rsidR="00144D6D" w:rsidRPr="0008292A" w:rsidTr="00EA0DAD">
                    <w:trPr>
                      <w:jc w:val="center"/>
                    </w:trPr>
                    <w:tc>
                      <w:tcPr>
                        <w:tcW w:w="1191" w:type="dxa"/>
                        <w:vMerge/>
                        <w:tcBorders>
                          <w:left w:val="single" w:sz="4" w:space="0" w:color="262626" w:themeColor="text1" w:themeTint="D9"/>
                          <w:right w:val="single" w:sz="4" w:space="0" w:color="262626" w:themeColor="text1" w:themeTint="D9"/>
                        </w:tcBorders>
                        <w:vAlign w:val="center"/>
                      </w:tcPr>
                      <w:p w:rsidR="00144D6D" w:rsidRPr="0008292A" w:rsidRDefault="00144D6D" w:rsidP="00964C2C">
                        <w:pPr>
                          <w:ind w:right="176"/>
                          <w:jc w:val="center"/>
                          <w:rPr>
                            <w:color w:val="262626" w:themeColor="text1" w:themeTint="D9"/>
                            <w:sz w:val="18"/>
                            <w:szCs w:val="18"/>
                          </w:rPr>
                        </w:pPr>
                      </w:p>
                    </w:tc>
                    <w:tc>
                      <w:tcPr>
                        <w:tcW w:w="1446"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44D6D" w:rsidRPr="0008292A" w:rsidRDefault="00144D6D" w:rsidP="00144D6D">
                        <w:pPr>
                          <w:jc w:val="center"/>
                          <w:rPr>
                            <w:color w:val="262626" w:themeColor="text1" w:themeTint="D9"/>
                            <w:sz w:val="18"/>
                            <w:szCs w:val="18"/>
                          </w:rPr>
                        </w:pPr>
                        <w:r w:rsidRPr="0008292A">
                          <w:rPr>
                            <w:color w:val="262626" w:themeColor="text1" w:themeTint="D9"/>
                            <w:sz w:val="18"/>
                            <w:szCs w:val="18"/>
                          </w:rPr>
                          <w:t>Ne signe pas</w:t>
                        </w:r>
                      </w:p>
                    </w:tc>
                    <w:tc>
                      <w:tcPr>
                        <w:tcW w:w="1446"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44D6D" w:rsidRPr="0008292A" w:rsidRDefault="00144D6D" w:rsidP="00144D6D">
                        <w:pPr>
                          <w:jc w:val="center"/>
                          <w:rPr>
                            <w:color w:val="262626" w:themeColor="text1" w:themeTint="D9"/>
                            <w:sz w:val="18"/>
                            <w:szCs w:val="18"/>
                          </w:rPr>
                        </w:pPr>
                        <w:r w:rsidRPr="0008292A">
                          <w:rPr>
                            <w:color w:val="262626" w:themeColor="text1" w:themeTint="D9"/>
                            <w:sz w:val="18"/>
                            <w:szCs w:val="18"/>
                          </w:rPr>
                          <w:t>(5 ; 5)</w:t>
                        </w:r>
                      </w:p>
                    </w:tc>
                    <w:tc>
                      <w:tcPr>
                        <w:tcW w:w="1446"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44D6D" w:rsidRPr="0008292A" w:rsidRDefault="00144D6D" w:rsidP="00144D6D">
                        <w:pPr>
                          <w:ind w:right="-3"/>
                          <w:jc w:val="center"/>
                          <w:rPr>
                            <w:color w:val="262626" w:themeColor="text1" w:themeTint="D9"/>
                            <w:sz w:val="18"/>
                            <w:szCs w:val="18"/>
                          </w:rPr>
                        </w:pPr>
                        <w:r w:rsidRPr="0008292A">
                          <w:rPr>
                            <w:color w:val="262626" w:themeColor="text1" w:themeTint="D9"/>
                            <w:sz w:val="18"/>
                            <w:szCs w:val="18"/>
                          </w:rPr>
                          <w:t>(7 ; 2)</w:t>
                        </w:r>
                      </w:p>
                    </w:tc>
                  </w:tr>
                  <w:tr w:rsidR="00144D6D" w:rsidRPr="0008292A" w:rsidTr="00EA0DAD">
                    <w:trPr>
                      <w:jc w:val="center"/>
                    </w:trPr>
                    <w:tc>
                      <w:tcPr>
                        <w:tcW w:w="1191" w:type="dxa"/>
                        <w:vMerge/>
                        <w:tcBorders>
                          <w:left w:val="single" w:sz="4" w:space="0" w:color="262626" w:themeColor="text1" w:themeTint="D9"/>
                          <w:bottom w:val="single" w:sz="4" w:space="0" w:color="262626" w:themeColor="text1" w:themeTint="D9"/>
                          <w:right w:val="single" w:sz="4" w:space="0" w:color="262626" w:themeColor="text1" w:themeTint="D9"/>
                        </w:tcBorders>
                        <w:vAlign w:val="center"/>
                      </w:tcPr>
                      <w:p w:rsidR="00144D6D" w:rsidRPr="0008292A" w:rsidRDefault="00144D6D" w:rsidP="00964C2C">
                        <w:pPr>
                          <w:ind w:right="176"/>
                          <w:jc w:val="center"/>
                          <w:rPr>
                            <w:color w:val="262626" w:themeColor="text1" w:themeTint="D9"/>
                            <w:sz w:val="18"/>
                            <w:szCs w:val="18"/>
                          </w:rPr>
                        </w:pPr>
                      </w:p>
                    </w:tc>
                    <w:tc>
                      <w:tcPr>
                        <w:tcW w:w="1446"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44D6D" w:rsidRPr="0008292A" w:rsidRDefault="00144D6D" w:rsidP="00144D6D">
                        <w:pPr>
                          <w:jc w:val="center"/>
                          <w:rPr>
                            <w:color w:val="262626" w:themeColor="text1" w:themeTint="D9"/>
                            <w:sz w:val="18"/>
                            <w:szCs w:val="18"/>
                          </w:rPr>
                        </w:pPr>
                        <w:r w:rsidRPr="0008292A">
                          <w:rPr>
                            <w:color w:val="262626" w:themeColor="text1" w:themeTint="D9"/>
                            <w:sz w:val="18"/>
                            <w:szCs w:val="18"/>
                          </w:rPr>
                          <w:t>Signe</w:t>
                        </w:r>
                      </w:p>
                    </w:tc>
                    <w:tc>
                      <w:tcPr>
                        <w:tcW w:w="1446"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44D6D" w:rsidRPr="0008292A" w:rsidRDefault="00144D6D" w:rsidP="00144D6D">
                        <w:pPr>
                          <w:jc w:val="center"/>
                          <w:rPr>
                            <w:color w:val="262626" w:themeColor="text1" w:themeTint="D9"/>
                            <w:sz w:val="18"/>
                            <w:szCs w:val="18"/>
                          </w:rPr>
                        </w:pPr>
                        <w:r w:rsidRPr="0008292A">
                          <w:rPr>
                            <w:color w:val="262626" w:themeColor="text1" w:themeTint="D9"/>
                            <w:sz w:val="18"/>
                            <w:szCs w:val="18"/>
                          </w:rPr>
                          <w:t>(2 ; 7)</w:t>
                        </w:r>
                      </w:p>
                    </w:tc>
                    <w:tc>
                      <w:tcPr>
                        <w:tcW w:w="1446"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rsidR="00144D6D" w:rsidRPr="0008292A" w:rsidRDefault="00144D6D" w:rsidP="00144D6D">
                        <w:pPr>
                          <w:ind w:right="-3"/>
                          <w:jc w:val="center"/>
                          <w:rPr>
                            <w:color w:val="262626" w:themeColor="text1" w:themeTint="D9"/>
                            <w:sz w:val="18"/>
                            <w:szCs w:val="18"/>
                          </w:rPr>
                        </w:pPr>
                        <w:r>
                          <w:rPr>
                            <w:color w:val="262626" w:themeColor="text1" w:themeTint="D9"/>
                            <w:sz w:val="18"/>
                            <w:szCs w:val="18"/>
                          </w:rPr>
                          <w:t>(4 ; 4</w:t>
                        </w:r>
                        <w:r w:rsidRPr="0008292A">
                          <w:rPr>
                            <w:color w:val="262626" w:themeColor="text1" w:themeTint="D9"/>
                            <w:sz w:val="18"/>
                            <w:szCs w:val="18"/>
                          </w:rPr>
                          <w:t>)</w:t>
                        </w:r>
                      </w:p>
                    </w:tc>
                  </w:tr>
                </w:tbl>
                <w:p w:rsidR="00144D6D" w:rsidRPr="0008292A" w:rsidRDefault="00144D6D" w:rsidP="00EA0DAD">
                  <w:pPr>
                    <w:ind w:left="851" w:right="1479"/>
                    <w:rPr>
                      <w:color w:val="262626" w:themeColor="text1" w:themeTint="D9"/>
                      <w:sz w:val="18"/>
                      <w:szCs w:val="18"/>
                    </w:rPr>
                  </w:pPr>
                </w:p>
                <w:p w:rsidR="00144D6D" w:rsidRPr="0008292A" w:rsidRDefault="00144D6D" w:rsidP="00EA0DAD">
                  <w:pPr>
                    <w:spacing w:after="120"/>
                    <w:ind w:left="851" w:right="1479"/>
                    <w:rPr>
                      <w:color w:val="262626" w:themeColor="text1" w:themeTint="D9"/>
                      <w:sz w:val="18"/>
                      <w:szCs w:val="18"/>
                    </w:rPr>
                  </w:pPr>
                  <w:r w:rsidRPr="0008292A">
                    <w:rPr>
                      <w:color w:val="262626" w:themeColor="text1" w:themeTint="D9"/>
                      <w:sz w:val="18"/>
                      <w:szCs w:val="18"/>
                    </w:rPr>
                    <w:t xml:space="preserve">Collectivement, la meilleure situation résulte de l’absence de partenariat avec l’assureur car le chiffre d’affaires collectif est maximal et équitablement réparti entre les deux professionnels. </w:t>
                  </w:r>
                </w:p>
                <w:p w:rsidR="00144D6D" w:rsidRPr="0008292A" w:rsidRDefault="00144D6D" w:rsidP="00EA0DAD">
                  <w:pPr>
                    <w:spacing w:after="120"/>
                    <w:ind w:left="851" w:right="1479"/>
                    <w:rPr>
                      <w:color w:val="262626" w:themeColor="text1" w:themeTint="D9"/>
                      <w:sz w:val="18"/>
                      <w:szCs w:val="18"/>
                    </w:rPr>
                  </w:pPr>
                  <w:r w:rsidRPr="0008292A">
                    <w:rPr>
                      <w:color w:val="262626" w:themeColor="text1" w:themeTint="D9"/>
                      <w:sz w:val="18"/>
                      <w:szCs w:val="18"/>
                    </w:rPr>
                    <w:t>Individuellement, c’est l’inverse : un opticien est incité à accepter le partenariat pour accroître sa clientèle et maximiser ainsi son propre profit. Par ailleurs, ne pas accepter de partenariat revient à s’exposer au risque de perdre de la clientèle si le concurrent a lui signé.</w:t>
                  </w:r>
                </w:p>
                <w:p w:rsidR="00144D6D" w:rsidRPr="0008292A" w:rsidRDefault="00144D6D" w:rsidP="00EA0DAD">
                  <w:pPr>
                    <w:spacing w:after="120"/>
                    <w:ind w:left="851" w:right="1479"/>
                    <w:rPr>
                      <w:color w:val="262626" w:themeColor="text1" w:themeTint="D9"/>
                      <w:sz w:val="18"/>
                      <w:szCs w:val="18"/>
                    </w:rPr>
                  </w:pPr>
                  <w:r w:rsidRPr="0008292A">
                    <w:rPr>
                      <w:color w:val="262626" w:themeColor="text1" w:themeTint="D9"/>
                      <w:sz w:val="18"/>
                      <w:szCs w:val="18"/>
                    </w:rPr>
                    <w:t>En l’absence de concertation entre les deux opticiens, chacun suivra ses motivations personnelles et signera le partenariat avec la complémentaire santé. Ce choix mène cependant à une situation collective</w:t>
                  </w:r>
                  <w:r>
                    <w:rPr>
                      <w:color w:val="262626" w:themeColor="text1" w:themeTint="D9"/>
                      <w:sz w:val="18"/>
                      <w:szCs w:val="18"/>
                    </w:rPr>
                    <w:t>ment</w:t>
                  </w:r>
                  <w:r w:rsidRPr="0008292A">
                    <w:rPr>
                      <w:color w:val="262626" w:themeColor="text1" w:themeTint="D9"/>
                      <w:sz w:val="18"/>
                      <w:szCs w:val="18"/>
                    </w:rPr>
                    <w:t xml:space="preserve"> sous-opt</w:t>
                  </w:r>
                  <w:r>
                    <w:rPr>
                      <w:color w:val="262626" w:themeColor="text1" w:themeTint="D9"/>
                      <w:sz w:val="18"/>
                      <w:szCs w:val="18"/>
                    </w:rPr>
                    <w:t>imale pour les opticiens.</w:t>
                  </w:r>
                  <w:r w:rsidRPr="0008292A">
                    <w:rPr>
                      <w:color w:val="262626" w:themeColor="text1" w:themeTint="D9"/>
                      <w:sz w:val="18"/>
                      <w:szCs w:val="18"/>
                    </w:rPr>
                    <w:t xml:space="preserve"> </w:t>
                  </w:r>
                </w:p>
                <w:p w:rsidR="00144D6D" w:rsidRPr="0008292A" w:rsidRDefault="00144D6D" w:rsidP="00EA0DAD">
                  <w:pPr>
                    <w:tabs>
                      <w:tab w:val="left" w:pos="3261"/>
                      <w:tab w:val="left" w:pos="6237"/>
                    </w:tabs>
                    <w:spacing w:after="0" w:line="288" w:lineRule="auto"/>
                    <w:ind w:left="851" w:right="1479"/>
                    <w:rPr>
                      <w:color w:val="262626" w:themeColor="text1" w:themeTint="D9"/>
                      <w:sz w:val="18"/>
                      <w:szCs w:val="18"/>
                    </w:rPr>
                  </w:pPr>
                  <w:r>
                    <w:rPr>
                      <w:color w:val="262626" w:themeColor="text1" w:themeTint="D9"/>
                      <w:sz w:val="18"/>
                      <w:szCs w:val="18"/>
                    </w:rPr>
                    <w:t>Dans la</w:t>
                  </w:r>
                  <w:r w:rsidRPr="0008292A">
                    <w:rPr>
                      <w:color w:val="262626" w:themeColor="text1" w:themeTint="D9"/>
                      <w:sz w:val="18"/>
                      <w:szCs w:val="18"/>
                    </w:rPr>
                    <w:t xml:space="preserve"> réalité, cette conclusion n’est valable qu’à court terme. Sur le long terme, le non contrôle des dépenses de santé (« aucun des opticiens ne signe ») met en péril la pérennité de la demande adressée aux opticiens. Ainsi, à long terme, l’intérêt collectif repose sur l’adhésion aux réseaux.</w:t>
                  </w:r>
                </w:p>
              </w:txbxContent>
            </v:textbox>
          </v:rect>
        </w:pict>
      </w:r>
    </w:p>
    <w:p w:rsidR="00B46EAB" w:rsidRDefault="00B46EAB" w:rsidP="00B46EAB"/>
    <w:p w:rsidR="00B46EAB" w:rsidRDefault="00B46EAB" w:rsidP="00B46EAB"/>
    <w:p w:rsidR="00B46EAB" w:rsidRDefault="00B46EAB" w:rsidP="00B46EAB"/>
    <w:p w:rsidR="00B46EAB" w:rsidRDefault="00B46EAB" w:rsidP="00B46EAB"/>
    <w:p w:rsidR="00B46EAB" w:rsidRDefault="00B46EAB" w:rsidP="00B46EAB"/>
    <w:p w:rsidR="00B46EAB" w:rsidRDefault="00B46EAB" w:rsidP="00B46EAB"/>
    <w:p w:rsidR="00B46EAB" w:rsidRDefault="00B46EAB" w:rsidP="00B46EAB"/>
    <w:p w:rsidR="00B46EAB" w:rsidRDefault="00B46EAB" w:rsidP="00B46EAB"/>
    <w:p w:rsidR="00B46EAB" w:rsidRDefault="00B46EAB" w:rsidP="00B46EAB"/>
    <w:p w:rsidR="00B46EAB" w:rsidRDefault="00B46EAB" w:rsidP="00B46EAB"/>
    <w:p w:rsidR="00B46EAB" w:rsidRDefault="00B46EAB" w:rsidP="00B46EAB"/>
    <w:p w:rsidR="00B46EAB" w:rsidRDefault="00B46EAB" w:rsidP="00B46EAB"/>
    <w:p w:rsidR="00B46EAB" w:rsidRDefault="00B46EAB" w:rsidP="00B46EAB"/>
    <w:p w:rsidR="00B46EAB" w:rsidRDefault="00B46EAB" w:rsidP="00B46EAB"/>
    <w:p w:rsidR="00B46EAB" w:rsidRDefault="00B46EAB" w:rsidP="00B46EAB"/>
    <w:p w:rsidR="00B46EAB" w:rsidRDefault="00B46EAB" w:rsidP="00B46EAB"/>
    <w:p w:rsidR="00B46EAB" w:rsidRDefault="00B46EAB" w:rsidP="00B46EAB"/>
    <w:p w:rsidR="00B46EAB" w:rsidRDefault="00B46EAB" w:rsidP="00B46EAB"/>
    <w:p w:rsidR="00B46EAB" w:rsidRDefault="00B46EAB" w:rsidP="00B46EAB"/>
    <w:p w:rsidR="00B46EAB" w:rsidRDefault="00B46EAB" w:rsidP="00B46EAB"/>
    <w:p w:rsidR="00B46EAB" w:rsidRDefault="00B46EAB" w:rsidP="00B46EAB"/>
    <w:p w:rsidR="00B46EAB" w:rsidRDefault="00B46EAB" w:rsidP="00B46EAB"/>
    <w:p w:rsidR="00B46EAB" w:rsidRDefault="00B46EAB" w:rsidP="00B46EAB"/>
    <w:p w:rsidR="00B46EAB" w:rsidRPr="00B46EAB" w:rsidRDefault="00B46EAB" w:rsidP="00B46EAB"/>
    <w:p w:rsidR="00B46EAB" w:rsidRDefault="00B46EAB" w:rsidP="00B46EAB">
      <w:pPr>
        <w:pStyle w:val="Titre2"/>
        <w:keepNext w:val="0"/>
        <w:keepLines w:val="0"/>
        <w:spacing w:before="0" w:after="120" w:line="240" w:lineRule="auto"/>
        <w:ind w:left="703" w:right="3544" w:hanging="703"/>
        <w:rPr>
          <w:rFonts w:eastAsiaTheme="minorHAnsi" w:cstheme="minorBidi"/>
          <w:bCs w:val="0"/>
          <w:color w:val="7A003C"/>
          <w:sz w:val="18"/>
          <w:szCs w:val="18"/>
        </w:rPr>
      </w:pPr>
    </w:p>
    <w:p w:rsidR="00B46EAB" w:rsidRDefault="00B46EAB" w:rsidP="00B46EAB">
      <w:pPr>
        <w:pStyle w:val="Titre2"/>
        <w:keepNext w:val="0"/>
        <w:keepLines w:val="0"/>
        <w:spacing w:before="0" w:after="120" w:line="240" w:lineRule="auto"/>
        <w:ind w:left="703" w:right="3544" w:hanging="703"/>
        <w:rPr>
          <w:rFonts w:eastAsiaTheme="minorHAnsi" w:cstheme="minorBidi"/>
          <w:bCs w:val="0"/>
          <w:color w:val="7A003C"/>
          <w:sz w:val="18"/>
          <w:szCs w:val="18"/>
        </w:rPr>
      </w:pPr>
    </w:p>
    <w:p w:rsidR="00B46EAB" w:rsidRDefault="00B46EAB" w:rsidP="00B46EAB">
      <w:pPr>
        <w:pStyle w:val="Titre2"/>
        <w:keepNext w:val="0"/>
        <w:keepLines w:val="0"/>
        <w:spacing w:before="0" w:after="120" w:line="240" w:lineRule="auto"/>
        <w:ind w:left="703" w:right="3544" w:hanging="703"/>
        <w:rPr>
          <w:rFonts w:eastAsiaTheme="minorHAnsi" w:cstheme="minorBidi"/>
          <w:bCs w:val="0"/>
          <w:color w:val="7A003C"/>
          <w:sz w:val="18"/>
          <w:szCs w:val="18"/>
        </w:rPr>
      </w:pPr>
    </w:p>
    <w:p w:rsidR="00B46EAB" w:rsidRDefault="00B46EAB" w:rsidP="00B46EAB">
      <w:pPr>
        <w:pStyle w:val="Titre2"/>
        <w:keepNext w:val="0"/>
        <w:keepLines w:val="0"/>
        <w:spacing w:before="0" w:after="120" w:line="240" w:lineRule="auto"/>
        <w:ind w:left="703" w:right="3544" w:hanging="703"/>
        <w:rPr>
          <w:rFonts w:eastAsiaTheme="minorHAnsi" w:cstheme="minorBidi"/>
          <w:bCs w:val="0"/>
          <w:color w:val="7A003C"/>
          <w:sz w:val="18"/>
          <w:szCs w:val="18"/>
        </w:rPr>
      </w:pPr>
    </w:p>
    <w:p w:rsidR="00B46EAB" w:rsidRPr="00EA0DAD" w:rsidRDefault="00B46EAB" w:rsidP="00B46EAB">
      <w:pPr>
        <w:pStyle w:val="Paragraphedeliste"/>
        <w:numPr>
          <w:ilvl w:val="2"/>
          <w:numId w:val="0"/>
        </w:numPr>
        <w:spacing w:after="320"/>
        <w:ind w:right="1985"/>
        <w:rPr>
          <w:b/>
          <w:color w:val="auto"/>
        </w:rPr>
      </w:pPr>
      <w:r w:rsidRPr="00EA0DAD">
        <w:rPr>
          <w:b/>
          <w:color w:val="7A003C"/>
          <w:u w:val="single"/>
        </w:rPr>
        <w:lastRenderedPageBreak/>
        <w:t>Analyse empirique</w:t>
      </w:r>
      <w:r w:rsidRPr="00EA0DAD">
        <w:rPr>
          <w:b/>
          <w:color w:val="7A003C"/>
        </w:rPr>
        <w:t> :</w:t>
      </w:r>
      <w:r w:rsidRPr="00EA0DAD">
        <w:rPr>
          <w:b/>
          <w:color w:val="auto"/>
        </w:rPr>
        <w:t xml:space="preserve"> </w:t>
      </w:r>
      <w:r>
        <w:rPr>
          <w:b/>
          <w:color w:val="auto"/>
        </w:rPr>
        <w:t>l</w:t>
      </w:r>
      <w:r w:rsidRPr="00EA0DAD">
        <w:rPr>
          <w:b/>
          <w:color w:val="auto"/>
        </w:rPr>
        <w:t xml:space="preserve">e conventionnement pèse sur la croissance du chiffre d’affaires des opticiens adhérents au réseau, et non sur </w:t>
      </w:r>
      <w:r>
        <w:rPr>
          <w:b/>
          <w:color w:val="auto"/>
        </w:rPr>
        <w:t>celui des opticiens hors réseau</w:t>
      </w:r>
    </w:p>
    <w:p w:rsidR="00B46EAB" w:rsidRPr="00E1528D" w:rsidRDefault="00B46EAB" w:rsidP="00B46EAB">
      <w:pPr>
        <w:spacing w:after="0" w:line="240" w:lineRule="auto"/>
        <w:rPr>
          <w:color w:val="auto"/>
          <w:sz w:val="10"/>
          <w:szCs w:val="10"/>
        </w:rPr>
        <w:sectPr w:rsidR="00B46EAB" w:rsidRPr="00E1528D" w:rsidSect="00415E08">
          <w:type w:val="continuous"/>
          <w:pgSz w:w="11906" w:h="16838"/>
          <w:pgMar w:top="1928" w:right="1418" w:bottom="1135" w:left="993" w:header="709" w:footer="709" w:gutter="0"/>
          <w:cols w:space="708"/>
          <w:docGrid w:linePitch="360"/>
        </w:sectPr>
      </w:pPr>
    </w:p>
    <w:p w:rsidR="00B46EAB" w:rsidRPr="00174B81" w:rsidRDefault="00B46EAB" w:rsidP="00B46EAB">
      <w:pPr>
        <w:jc w:val="left"/>
        <w:rPr>
          <w:color w:val="auto"/>
          <w:sz w:val="20"/>
          <w:szCs w:val="20"/>
        </w:rPr>
      </w:pPr>
      <w:r w:rsidRPr="00174B81">
        <w:rPr>
          <w:color w:val="auto"/>
          <w:sz w:val="20"/>
          <w:szCs w:val="20"/>
        </w:rPr>
        <w:lastRenderedPageBreak/>
        <w:t xml:space="preserve">Pour un opticien, la signature d’un contrat de conventionnement n’est profitable que si l’augmentation de la clientèle qui en résulte compense les baisses de prix consenties. Or, au moins pour l’année 2011, cela ne semble pas avoir été le cas. Le conventionnement n’aurait pas eu d’impact </w:t>
      </w:r>
      <w:r>
        <w:rPr>
          <w:color w:val="auto"/>
          <w:sz w:val="20"/>
          <w:szCs w:val="20"/>
        </w:rPr>
        <w:t>fortement</w:t>
      </w:r>
      <w:r w:rsidRPr="00174B81">
        <w:rPr>
          <w:color w:val="auto"/>
          <w:sz w:val="20"/>
          <w:szCs w:val="20"/>
        </w:rPr>
        <w:t xml:space="preserve"> </w:t>
      </w:r>
      <w:r>
        <w:rPr>
          <w:color w:val="auto"/>
          <w:sz w:val="20"/>
          <w:szCs w:val="20"/>
        </w:rPr>
        <w:t xml:space="preserve">négatif </w:t>
      </w:r>
      <w:r w:rsidRPr="00174B81">
        <w:rPr>
          <w:color w:val="auto"/>
          <w:sz w:val="20"/>
          <w:szCs w:val="20"/>
        </w:rPr>
        <w:t>sur l’activité des magasins non conventionnés.</w:t>
      </w:r>
    </w:p>
    <w:p w:rsidR="00B46EAB" w:rsidRPr="00174B81" w:rsidRDefault="00B46EAB" w:rsidP="00B46EAB">
      <w:pPr>
        <w:spacing w:after="60"/>
        <w:jc w:val="left"/>
        <w:rPr>
          <w:color w:val="auto"/>
          <w:sz w:val="20"/>
          <w:szCs w:val="20"/>
        </w:rPr>
      </w:pPr>
      <w:r w:rsidRPr="00174B81">
        <w:rPr>
          <w:color w:val="auto"/>
          <w:sz w:val="20"/>
          <w:szCs w:val="20"/>
        </w:rPr>
        <w:t xml:space="preserve">D’après la Mutualité française, le développement des réseaux d’opticiens a véritablement pris son essor en 2011. Son impact sur le chiffre d’affaires peut donc s’analyser en comparant la croissance des ventes réalisées par les magasins appartenant à un réseau en 2011 par rapport à : </w:t>
      </w:r>
    </w:p>
    <w:p w:rsidR="00B46EAB" w:rsidRPr="00174B81" w:rsidRDefault="00B46EAB" w:rsidP="00B46EAB">
      <w:pPr>
        <w:pStyle w:val="Paragraphedeliste"/>
        <w:numPr>
          <w:ilvl w:val="0"/>
          <w:numId w:val="17"/>
        </w:numPr>
        <w:spacing w:after="60"/>
        <w:ind w:left="425" w:hanging="425"/>
        <w:contextualSpacing w:val="0"/>
        <w:jc w:val="left"/>
        <w:rPr>
          <w:color w:val="auto"/>
          <w:sz w:val="20"/>
          <w:szCs w:val="20"/>
        </w:rPr>
      </w:pPr>
      <w:r w:rsidRPr="00174B81">
        <w:rPr>
          <w:color w:val="auto"/>
          <w:sz w:val="20"/>
          <w:szCs w:val="20"/>
        </w:rPr>
        <w:t>leurs performances passées ;</w:t>
      </w:r>
    </w:p>
    <w:p w:rsidR="00B46EAB" w:rsidRPr="00174B81" w:rsidRDefault="00B46EAB" w:rsidP="00B46EAB">
      <w:pPr>
        <w:pStyle w:val="Paragraphedeliste"/>
        <w:numPr>
          <w:ilvl w:val="0"/>
          <w:numId w:val="17"/>
        </w:numPr>
        <w:ind w:left="425" w:hanging="425"/>
        <w:contextualSpacing w:val="0"/>
        <w:jc w:val="left"/>
        <w:rPr>
          <w:color w:val="auto"/>
          <w:sz w:val="20"/>
          <w:szCs w:val="20"/>
        </w:rPr>
      </w:pPr>
      <w:r w:rsidRPr="00174B81">
        <w:rPr>
          <w:color w:val="auto"/>
          <w:sz w:val="20"/>
          <w:szCs w:val="20"/>
        </w:rPr>
        <w:t>à la performance des magasins non conventionnés.</w:t>
      </w:r>
    </w:p>
    <w:p w:rsidR="00B46EAB" w:rsidRPr="00174B81" w:rsidRDefault="00B46EAB" w:rsidP="006E6CDC">
      <w:pPr>
        <w:spacing w:after="120"/>
        <w:jc w:val="left"/>
        <w:rPr>
          <w:color w:val="auto"/>
          <w:sz w:val="20"/>
          <w:szCs w:val="20"/>
        </w:rPr>
      </w:pPr>
      <w:r w:rsidRPr="00174B81">
        <w:rPr>
          <w:color w:val="auto"/>
          <w:sz w:val="20"/>
          <w:szCs w:val="20"/>
        </w:rPr>
        <w:t>De ces comparaisons, il ressort que :</w:t>
      </w:r>
    </w:p>
    <w:p w:rsidR="00B46EAB" w:rsidRPr="00174B81" w:rsidRDefault="00B46EAB" w:rsidP="006E6CDC">
      <w:pPr>
        <w:pStyle w:val="Paragraphedeliste"/>
        <w:numPr>
          <w:ilvl w:val="0"/>
          <w:numId w:val="18"/>
        </w:numPr>
        <w:spacing w:after="120"/>
        <w:ind w:left="425" w:hanging="425"/>
        <w:contextualSpacing w:val="0"/>
        <w:jc w:val="left"/>
        <w:rPr>
          <w:color w:val="auto"/>
          <w:sz w:val="20"/>
          <w:szCs w:val="20"/>
        </w:rPr>
      </w:pPr>
      <w:r w:rsidRPr="00174B81">
        <w:rPr>
          <w:color w:val="auto"/>
          <w:sz w:val="20"/>
          <w:szCs w:val="20"/>
        </w:rPr>
        <w:t xml:space="preserve">les magasins </w:t>
      </w:r>
      <w:r w:rsidR="009A3910">
        <w:rPr>
          <w:color w:val="auto"/>
          <w:sz w:val="20"/>
          <w:szCs w:val="20"/>
        </w:rPr>
        <w:t>conventionnés</w:t>
      </w:r>
      <w:r w:rsidRPr="00174B81">
        <w:rPr>
          <w:color w:val="auto"/>
          <w:sz w:val="20"/>
          <w:szCs w:val="20"/>
        </w:rPr>
        <w:t xml:space="preserve"> ont, en moyenne, des performances </w:t>
      </w:r>
      <w:r w:rsidRPr="009A3910">
        <w:rPr>
          <w:color w:val="auto"/>
          <w:sz w:val="20"/>
          <w:szCs w:val="20"/>
        </w:rPr>
        <w:t>historiques</w:t>
      </w:r>
      <w:r w:rsidRPr="00174B81">
        <w:rPr>
          <w:color w:val="auto"/>
          <w:sz w:val="20"/>
          <w:szCs w:val="20"/>
        </w:rPr>
        <w:t xml:space="preserve"> supérieures à celles des magasins non conventionnés. Cette tendance peut s’expliquer par le fait que les magasins les plus performants disposent des meilleurs atouts pour prétendre à un</w:t>
      </w:r>
      <w:r>
        <w:rPr>
          <w:color w:val="auto"/>
          <w:sz w:val="20"/>
          <w:szCs w:val="20"/>
        </w:rPr>
        <w:t xml:space="preserve"> conventionnement (capacité de pratiquer des tarifs modérés essentiellement).</w:t>
      </w:r>
    </w:p>
    <w:p w:rsidR="00B46EAB" w:rsidRDefault="00B46EAB" w:rsidP="00B46EAB">
      <w:pPr>
        <w:pStyle w:val="Paragraphedeliste"/>
        <w:numPr>
          <w:ilvl w:val="0"/>
          <w:numId w:val="18"/>
        </w:numPr>
        <w:spacing w:after="240"/>
        <w:ind w:left="425" w:hanging="425"/>
        <w:contextualSpacing w:val="0"/>
        <w:jc w:val="left"/>
        <w:rPr>
          <w:color w:val="auto"/>
          <w:sz w:val="20"/>
          <w:szCs w:val="20"/>
        </w:rPr>
      </w:pPr>
      <w:r w:rsidRPr="00174B81">
        <w:rPr>
          <w:color w:val="auto"/>
          <w:sz w:val="20"/>
          <w:szCs w:val="20"/>
        </w:rPr>
        <w:t>Cependant, l’observation précédente n’est plus valable pour l’année 2011. En effet, la croissance du chiffre d’affaires a ralenti pour les magas</w:t>
      </w:r>
      <w:r>
        <w:rPr>
          <w:color w:val="auto"/>
          <w:sz w:val="20"/>
          <w:szCs w:val="20"/>
        </w:rPr>
        <w:t xml:space="preserve">ins conventionnés tandis que le </w:t>
      </w:r>
      <w:r w:rsidRPr="00174B81">
        <w:rPr>
          <w:color w:val="auto"/>
          <w:sz w:val="20"/>
          <w:szCs w:val="20"/>
        </w:rPr>
        <w:t xml:space="preserve">ralentissement a été relativement </w:t>
      </w:r>
      <w:r>
        <w:rPr>
          <w:color w:val="auto"/>
          <w:sz w:val="20"/>
          <w:szCs w:val="20"/>
        </w:rPr>
        <w:t>limité</w:t>
      </w:r>
      <w:r w:rsidRPr="00174B81">
        <w:rPr>
          <w:color w:val="auto"/>
          <w:sz w:val="20"/>
          <w:szCs w:val="20"/>
        </w:rPr>
        <w:t xml:space="preserve"> pour les non conventionnés. L’adhésion à un réseau d’opticiens </w:t>
      </w:r>
      <w:r>
        <w:rPr>
          <w:color w:val="auto"/>
          <w:sz w:val="20"/>
          <w:szCs w:val="20"/>
        </w:rPr>
        <w:t xml:space="preserve">pourrait ainsi constituer </w:t>
      </w:r>
      <w:r w:rsidRPr="00174B81">
        <w:rPr>
          <w:color w:val="auto"/>
          <w:sz w:val="20"/>
          <w:szCs w:val="20"/>
        </w:rPr>
        <w:t xml:space="preserve">un frein à la croissance du chiffre d’affaires car les baisses de prix consenties ne seraient pas </w:t>
      </w:r>
      <w:r>
        <w:rPr>
          <w:color w:val="auto"/>
          <w:sz w:val="20"/>
          <w:szCs w:val="20"/>
        </w:rPr>
        <w:t xml:space="preserve">intégralement </w:t>
      </w:r>
      <w:r w:rsidRPr="00174B81">
        <w:rPr>
          <w:color w:val="auto"/>
          <w:sz w:val="20"/>
          <w:szCs w:val="20"/>
        </w:rPr>
        <w:t xml:space="preserve">compensées par un afflux suffisant de clients supplémentaires. </w:t>
      </w:r>
    </w:p>
    <w:p w:rsidR="00B46EAB" w:rsidRPr="00391929" w:rsidRDefault="00B46EAB" w:rsidP="00B46EAB">
      <w:pPr>
        <w:pStyle w:val="Paragraphedeliste"/>
        <w:numPr>
          <w:ilvl w:val="0"/>
          <w:numId w:val="21"/>
        </w:numPr>
        <w:shd w:val="clear" w:color="auto" w:fill="D9D9D9" w:themeFill="background1" w:themeFillShade="D9"/>
        <w:spacing w:after="120"/>
        <w:ind w:left="284" w:hanging="284"/>
        <w:jc w:val="left"/>
        <w:rPr>
          <w:color w:val="auto"/>
          <w:sz w:val="18"/>
          <w:szCs w:val="18"/>
        </w:rPr>
      </w:pPr>
      <w:r w:rsidRPr="00391929">
        <w:rPr>
          <w:i/>
          <w:color w:val="262626" w:themeColor="text1" w:themeTint="D9"/>
          <w:sz w:val="18"/>
          <w:szCs w:val="18"/>
        </w:rPr>
        <w:t>A noter que ce diagnostic ne porte que sur une année (2011). Ces résultats sont donc susceptibles d’évoluer avec l’analyse de données supplémentaires.</w:t>
      </w:r>
    </w:p>
    <w:p w:rsidR="00B46EAB" w:rsidRPr="00174B81" w:rsidRDefault="00B46EAB" w:rsidP="00B46EAB">
      <w:pPr>
        <w:spacing w:before="120" w:after="120"/>
        <w:ind w:right="-71"/>
        <w:jc w:val="left"/>
        <w:rPr>
          <w:color w:val="auto"/>
          <w:sz w:val="20"/>
          <w:szCs w:val="20"/>
        </w:rPr>
      </w:pPr>
      <w:r w:rsidRPr="00174B81">
        <w:rPr>
          <w:color w:val="auto"/>
          <w:sz w:val="20"/>
          <w:szCs w:val="20"/>
        </w:rPr>
        <w:lastRenderedPageBreak/>
        <w:t>Deux éléments d’explication peuvent permettre d’expliquer que la hausse de la clientèle soit moindre qu’espérée pour les opticiens-lunetiers conventionnés :</w:t>
      </w:r>
    </w:p>
    <w:p w:rsidR="00B46EAB" w:rsidRPr="006E6CDC" w:rsidRDefault="00B46EAB" w:rsidP="006E6CDC">
      <w:pPr>
        <w:pStyle w:val="Paragraphedeliste"/>
        <w:numPr>
          <w:ilvl w:val="0"/>
          <w:numId w:val="4"/>
        </w:numPr>
        <w:spacing w:after="120"/>
        <w:ind w:left="425" w:hanging="357"/>
        <w:contextualSpacing w:val="0"/>
        <w:jc w:val="left"/>
        <w:rPr>
          <w:color w:val="auto"/>
          <w:sz w:val="20"/>
          <w:szCs w:val="20"/>
        </w:rPr>
      </w:pPr>
      <w:r w:rsidRPr="00174B81">
        <w:rPr>
          <w:color w:val="auto"/>
          <w:sz w:val="20"/>
          <w:szCs w:val="20"/>
        </w:rPr>
        <w:t xml:space="preserve">Les assurés peuvent sélectionner leur opticien sur la base de leurs goûts personnels et non sur la base d’avantages dont ils pourraient </w:t>
      </w:r>
      <w:proofErr w:type="gramStart"/>
      <w:r w:rsidRPr="00174B81">
        <w:rPr>
          <w:color w:val="auto"/>
          <w:sz w:val="20"/>
          <w:szCs w:val="20"/>
        </w:rPr>
        <w:t>profiter</w:t>
      </w:r>
      <w:proofErr w:type="gramEnd"/>
      <w:r w:rsidRPr="00174B81">
        <w:rPr>
          <w:color w:val="auto"/>
          <w:sz w:val="20"/>
          <w:szCs w:val="20"/>
        </w:rPr>
        <w:t xml:space="preserve"> auprès d’un établissement conventionné. </w:t>
      </w:r>
    </w:p>
    <w:p w:rsidR="00B46EAB" w:rsidRDefault="00B46EAB" w:rsidP="00B46EAB">
      <w:pPr>
        <w:pStyle w:val="Paragraphedeliste"/>
        <w:numPr>
          <w:ilvl w:val="0"/>
          <w:numId w:val="4"/>
        </w:numPr>
        <w:spacing w:after="120"/>
        <w:ind w:left="426" w:right="-213"/>
        <w:jc w:val="left"/>
        <w:rPr>
          <w:color w:val="auto"/>
          <w:sz w:val="20"/>
          <w:szCs w:val="20"/>
        </w:rPr>
      </w:pPr>
      <w:r w:rsidRPr="00174B81">
        <w:rPr>
          <w:color w:val="auto"/>
          <w:sz w:val="20"/>
          <w:szCs w:val="20"/>
        </w:rPr>
        <w:t xml:space="preserve">Les assurés peuvent être imparfaitement renseignés sur le réseau d’opticiens de leur complémentaire santé. Ils peuvent ne pas connaître les magasins adhérents au réseau tout comme </w:t>
      </w:r>
      <w:r>
        <w:rPr>
          <w:color w:val="auto"/>
          <w:sz w:val="20"/>
          <w:szCs w:val="20"/>
        </w:rPr>
        <w:t xml:space="preserve">ne pas connaître </w:t>
      </w:r>
      <w:r w:rsidRPr="00174B81">
        <w:rPr>
          <w:color w:val="auto"/>
          <w:sz w:val="20"/>
          <w:szCs w:val="20"/>
        </w:rPr>
        <w:t xml:space="preserve">les avantages délivrés dans </w:t>
      </w:r>
      <w:r>
        <w:rPr>
          <w:color w:val="auto"/>
          <w:sz w:val="20"/>
          <w:szCs w:val="20"/>
        </w:rPr>
        <w:t>ses magasins</w:t>
      </w:r>
      <w:r w:rsidRPr="00174B81">
        <w:rPr>
          <w:color w:val="auto"/>
          <w:sz w:val="20"/>
          <w:szCs w:val="20"/>
        </w:rPr>
        <w:t xml:space="preserve">. Les assurés ne disposeraient alors pas des informations nécessaires pour formuler de manière rationnelle et optimum leurs choix </w:t>
      </w:r>
      <w:r>
        <w:rPr>
          <w:color w:val="auto"/>
          <w:sz w:val="20"/>
          <w:szCs w:val="20"/>
        </w:rPr>
        <w:t>de prestataire</w:t>
      </w:r>
      <w:r w:rsidRPr="00174B81">
        <w:rPr>
          <w:color w:val="auto"/>
          <w:sz w:val="20"/>
          <w:szCs w:val="20"/>
        </w:rPr>
        <w:t>.</w:t>
      </w:r>
      <w:r>
        <w:rPr>
          <w:color w:val="auto"/>
          <w:sz w:val="20"/>
          <w:szCs w:val="20"/>
        </w:rPr>
        <w:t xml:space="preserve"> Les complémentaires gagneraient alors à mieux faire connaître auprès de leurs assurés les avantages du conventionnement, dans l’intérêt des opticiens.</w:t>
      </w:r>
    </w:p>
    <w:p w:rsidR="00B46EAB" w:rsidRDefault="00F86138" w:rsidP="00B46EAB">
      <w:pPr>
        <w:pStyle w:val="Titre2"/>
        <w:keepNext w:val="0"/>
        <w:keepLines w:val="0"/>
        <w:spacing w:before="0" w:after="120" w:line="240" w:lineRule="auto"/>
        <w:ind w:left="703" w:right="3544" w:hanging="703"/>
        <w:rPr>
          <w:rFonts w:eastAsiaTheme="minorHAnsi" w:cstheme="minorBidi"/>
          <w:bCs w:val="0"/>
          <w:color w:val="7A003C"/>
          <w:sz w:val="18"/>
          <w:szCs w:val="18"/>
        </w:rPr>
      </w:pPr>
      <w:r>
        <w:rPr>
          <w:noProof/>
          <w:lang w:eastAsia="fr-FR"/>
        </w:rPr>
        <w:pict>
          <v:shape id="_x0000_s1115" type="#_x0000_t202" style="position:absolute;left:0;text-align:left;margin-left:-7.4pt;margin-top:12.9pt;width:250.3pt;height:36.8pt;z-index:251769856;mso-width-relative:margin;mso-height-relative:margin" filled="f" stroked="f">
            <v:textbox style="mso-next-textbox:#_x0000_s1115">
              <w:txbxContent>
                <w:p w:rsidR="00313529" w:rsidRDefault="00313529" w:rsidP="00313529">
                  <w:pPr>
                    <w:tabs>
                      <w:tab w:val="left" w:pos="993"/>
                    </w:tabs>
                    <w:spacing w:after="0" w:line="240" w:lineRule="auto"/>
                    <w:ind w:left="990" w:hanging="990"/>
                    <w:jc w:val="left"/>
                    <w:rPr>
                      <w:b/>
                      <w:color w:val="262626" w:themeColor="text1" w:themeTint="D9"/>
                      <w:sz w:val="20"/>
                      <w:szCs w:val="20"/>
                    </w:rPr>
                  </w:pPr>
                  <w:r>
                    <w:rPr>
                      <w:color w:val="7A003C"/>
                      <w:sz w:val="18"/>
                      <w:szCs w:val="18"/>
                    </w:rPr>
                    <w:t>Graph 21</w:t>
                  </w:r>
                  <w:r w:rsidRPr="00987897">
                    <w:rPr>
                      <w:color w:val="7A003C"/>
                      <w:sz w:val="18"/>
                      <w:szCs w:val="18"/>
                    </w:rPr>
                    <w:t>.</w:t>
                  </w:r>
                  <w:r>
                    <w:rPr>
                      <w:color w:val="7A003C"/>
                      <w:sz w:val="18"/>
                      <w:szCs w:val="18"/>
                    </w:rPr>
                    <w:tab/>
                  </w:r>
                  <w:r>
                    <w:rPr>
                      <w:b/>
                      <w:color w:val="262626" w:themeColor="text1" w:themeTint="D9"/>
                      <w:sz w:val="20"/>
                      <w:szCs w:val="20"/>
                    </w:rPr>
                    <w:t>Evolution du chiffre d’affaires des opticiens</w:t>
                  </w:r>
                </w:p>
                <w:p w:rsidR="00313529" w:rsidRPr="00987897" w:rsidRDefault="00313529" w:rsidP="00313529">
                  <w:pPr>
                    <w:tabs>
                      <w:tab w:val="left" w:pos="993"/>
                    </w:tabs>
                    <w:spacing w:after="0" w:line="240" w:lineRule="auto"/>
                    <w:ind w:left="990" w:hanging="990"/>
                    <w:jc w:val="left"/>
                    <w:rPr>
                      <w:i/>
                      <w:color w:val="262626" w:themeColor="text1" w:themeTint="D9"/>
                      <w:sz w:val="18"/>
                      <w:szCs w:val="18"/>
                    </w:rPr>
                  </w:pPr>
                  <w:r>
                    <w:rPr>
                      <w:color w:val="7A003C"/>
                      <w:sz w:val="18"/>
                      <w:szCs w:val="18"/>
                    </w:rPr>
                    <w:tab/>
                  </w:r>
                  <w:r>
                    <w:rPr>
                      <w:i/>
                      <w:color w:val="262626" w:themeColor="text1" w:themeTint="D9"/>
                      <w:sz w:val="18"/>
                      <w:szCs w:val="18"/>
                    </w:rPr>
                    <w:t>En variation annuelle </w:t>
                  </w:r>
                </w:p>
                <w:p w:rsidR="00313529" w:rsidRPr="00987897" w:rsidRDefault="00313529" w:rsidP="00313529">
                  <w:pPr>
                    <w:rPr>
                      <w:color w:val="7A003C"/>
                      <w:sz w:val="18"/>
                      <w:szCs w:val="18"/>
                    </w:rPr>
                  </w:pPr>
                </w:p>
              </w:txbxContent>
            </v:textbox>
          </v:shape>
        </w:pict>
      </w:r>
    </w:p>
    <w:p w:rsidR="00B46EAB" w:rsidRDefault="004C097B" w:rsidP="00B46EAB">
      <w:r>
        <w:rPr>
          <w:noProof/>
          <w:lang w:eastAsia="fr-FR"/>
        </w:rPr>
        <w:drawing>
          <wp:anchor distT="0" distB="0" distL="114300" distR="114300" simplePos="0" relativeHeight="251771904" behindDoc="0" locked="0" layoutInCell="1" allowOverlap="1">
            <wp:simplePos x="0" y="0"/>
            <wp:positionH relativeFrom="column">
              <wp:posOffset>-133985</wp:posOffset>
            </wp:positionH>
            <wp:positionV relativeFrom="paragraph">
              <wp:posOffset>290195</wp:posOffset>
            </wp:positionV>
            <wp:extent cx="3305810" cy="2564765"/>
            <wp:effectExtent l="19050" t="0" r="0" b="0"/>
            <wp:wrapNone/>
            <wp:docPr id="3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rsidR="00B46EAB" w:rsidRDefault="00B46EAB" w:rsidP="00B46EAB"/>
    <w:p w:rsidR="00B46EAB" w:rsidRDefault="00B46EAB" w:rsidP="00B46EAB"/>
    <w:p w:rsidR="00B46EAB" w:rsidRDefault="00B46EAB" w:rsidP="00B46EAB"/>
    <w:p w:rsidR="00B46EAB" w:rsidRDefault="00B46EAB" w:rsidP="00B46EAB"/>
    <w:p w:rsidR="00B46EAB" w:rsidRDefault="00B46EAB" w:rsidP="00B46EAB"/>
    <w:p w:rsidR="00B46EAB" w:rsidRDefault="00B46EAB" w:rsidP="00B46EAB"/>
    <w:p w:rsidR="00B46EAB" w:rsidRDefault="00B46EAB" w:rsidP="00B46EAB"/>
    <w:p w:rsidR="00B46EAB" w:rsidRDefault="00B46EAB" w:rsidP="00B46EAB"/>
    <w:p w:rsidR="00B46EAB" w:rsidRDefault="00F86138" w:rsidP="00B46EAB">
      <w:r>
        <w:rPr>
          <w:noProof/>
          <w:lang w:eastAsia="fr-FR"/>
        </w:rPr>
        <w:pict>
          <v:shape id="_x0000_s1116" type="#_x0000_t202" style="position:absolute;left:0;text-align:left;margin-left:-12.8pt;margin-top:10.4pt;width:274.05pt;height:54pt;z-index:251772928;mso-width-relative:margin;mso-height-relative:margin;v-text-anchor:middle" filled="f" stroked="f">
            <v:textbox>
              <w:txbxContent>
                <w:p w:rsidR="00313529" w:rsidRDefault="00313529" w:rsidP="00313529">
                  <w:pPr>
                    <w:spacing w:after="60" w:line="240" w:lineRule="auto"/>
                    <w:jc w:val="left"/>
                    <w:rPr>
                      <w:color w:val="262626" w:themeColor="text1" w:themeTint="D9"/>
                      <w:sz w:val="18"/>
                      <w:szCs w:val="18"/>
                    </w:rPr>
                  </w:pPr>
                  <w:r>
                    <w:rPr>
                      <w:color w:val="262626" w:themeColor="text1" w:themeTint="D9"/>
                      <w:sz w:val="18"/>
                      <w:szCs w:val="18"/>
                    </w:rPr>
                    <w:t xml:space="preserve">Champ : opticiens-lunetiers ayant un CA &gt; 2M€ et ayant déposé leurs comptes financiers aux greffes des tribunaux de commerce. </w:t>
                  </w:r>
                </w:p>
                <w:p w:rsidR="00313529" w:rsidRDefault="00313529" w:rsidP="00313529">
                  <w:pPr>
                    <w:spacing w:after="60" w:line="240" w:lineRule="auto"/>
                    <w:jc w:val="left"/>
                    <w:rPr>
                      <w:color w:val="262626" w:themeColor="text1" w:themeTint="D9"/>
                      <w:sz w:val="18"/>
                      <w:szCs w:val="18"/>
                    </w:rPr>
                  </w:pPr>
                  <w:r>
                    <w:rPr>
                      <w:color w:val="262626" w:themeColor="text1" w:themeTint="D9"/>
                      <w:sz w:val="18"/>
                      <w:szCs w:val="18"/>
                    </w:rPr>
                    <w:t>Note : avant 2010, aucun opticien n’avait signé de convention.</w:t>
                  </w:r>
                </w:p>
                <w:p w:rsidR="00313529" w:rsidRPr="00C9097E" w:rsidRDefault="00313529" w:rsidP="00313529">
                  <w:pPr>
                    <w:spacing w:after="0" w:line="240" w:lineRule="auto"/>
                    <w:jc w:val="left"/>
                    <w:rPr>
                      <w:color w:val="262626" w:themeColor="text1" w:themeTint="D9"/>
                      <w:sz w:val="18"/>
                      <w:szCs w:val="18"/>
                    </w:rPr>
                  </w:pPr>
                  <w:r>
                    <w:rPr>
                      <w:color w:val="262626" w:themeColor="text1" w:themeTint="D9"/>
                      <w:sz w:val="18"/>
                      <w:szCs w:val="18"/>
                    </w:rPr>
                    <w:t xml:space="preserve">Source : </w:t>
                  </w:r>
                  <w:proofErr w:type="spellStart"/>
                  <w:r>
                    <w:rPr>
                      <w:color w:val="262626" w:themeColor="text1" w:themeTint="D9"/>
                      <w:sz w:val="18"/>
                      <w:szCs w:val="18"/>
                    </w:rPr>
                    <w:t>Asterès</w:t>
                  </w:r>
                  <w:proofErr w:type="spellEnd"/>
                </w:p>
                <w:p w:rsidR="00313529" w:rsidRPr="00C9097E" w:rsidRDefault="00313529" w:rsidP="00313529">
                  <w:pPr>
                    <w:jc w:val="left"/>
                    <w:rPr>
                      <w:color w:val="262626" w:themeColor="text1" w:themeTint="D9"/>
                      <w:sz w:val="18"/>
                      <w:szCs w:val="18"/>
                    </w:rPr>
                  </w:pPr>
                </w:p>
              </w:txbxContent>
            </v:textbox>
          </v:shape>
        </w:pict>
      </w:r>
    </w:p>
    <w:p w:rsidR="00B46EAB" w:rsidRPr="00B46EAB" w:rsidRDefault="00B46EAB" w:rsidP="00B46EAB">
      <w:pPr>
        <w:sectPr w:rsidR="00B46EAB" w:rsidRPr="00B46EAB" w:rsidSect="00B46EAB">
          <w:type w:val="continuous"/>
          <w:pgSz w:w="11906" w:h="16838"/>
          <w:pgMar w:top="1928" w:right="1418" w:bottom="1135" w:left="993" w:header="709" w:footer="709" w:gutter="0"/>
          <w:cols w:num="2" w:space="708"/>
          <w:docGrid w:linePitch="360"/>
        </w:sectPr>
      </w:pPr>
    </w:p>
    <w:p w:rsidR="00B46EAB" w:rsidRDefault="00B46EAB" w:rsidP="00B46EAB">
      <w:pPr>
        <w:pStyle w:val="Titre2"/>
        <w:keepNext w:val="0"/>
        <w:keepLines w:val="0"/>
        <w:spacing w:before="0" w:after="120" w:line="240" w:lineRule="auto"/>
        <w:ind w:left="703" w:right="3544" w:hanging="703"/>
        <w:rPr>
          <w:rFonts w:eastAsiaTheme="minorHAnsi" w:cstheme="minorBidi"/>
          <w:bCs w:val="0"/>
          <w:color w:val="7A003C"/>
          <w:sz w:val="18"/>
          <w:szCs w:val="18"/>
        </w:rPr>
      </w:pPr>
    </w:p>
    <w:p w:rsidR="00B46EAB" w:rsidRDefault="00B46EAB" w:rsidP="00B46EAB">
      <w:pPr>
        <w:pStyle w:val="Titre2"/>
        <w:keepNext w:val="0"/>
        <w:keepLines w:val="0"/>
        <w:spacing w:before="0" w:after="120" w:line="240" w:lineRule="auto"/>
        <w:ind w:left="703" w:right="3544" w:hanging="703"/>
        <w:rPr>
          <w:rFonts w:eastAsiaTheme="minorHAnsi" w:cstheme="minorBidi"/>
          <w:bCs w:val="0"/>
          <w:color w:val="7A003C"/>
          <w:sz w:val="18"/>
          <w:szCs w:val="18"/>
        </w:rPr>
      </w:pPr>
    </w:p>
    <w:p w:rsidR="001937F6" w:rsidRDefault="00B46EAB" w:rsidP="00B46EAB">
      <w:pPr>
        <w:pStyle w:val="Titre2"/>
        <w:keepNext w:val="0"/>
        <w:keepLines w:val="0"/>
        <w:spacing w:before="0" w:after="120" w:line="240" w:lineRule="auto"/>
        <w:ind w:left="705" w:right="3544" w:hanging="705"/>
        <w:rPr>
          <w:i/>
          <w:color w:val="17365D" w:themeColor="text2" w:themeShade="BF"/>
          <w:sz w:val="28"/>
          <w:szCs w:val="28"/>
        </w:rPr>
      </w:pPr>
      <w:r>
        <w:rPr>
          <w:rFonts w:eastAsiaTheme="minorHAnsi" w:cstheme="minorBidi"/>
          <w:bCs w:val="0"/>
          <w:color w:val="7A003C"/>
          <w:sz w:val="18"/>
          <w:szCs w:val="18"/>
        </w:rPr>
        <w:lastRenderedPageBreak/>
        <w:t>[3.4</w:t>
      </w:r>
      <w:r w:rsidR="001937F6" w:rsidRPr="00987897">
        <w:rPr>
          <w:rFonts w:eastAsiaTheme="minorHAnsi" w:cstheme="minorBidi"/>
          <w:bCs w:val="0"/>
          <w:color w:val="7A003C"/>
          <w:sz w:val="18"/>
          <w:szCs w:val="18"/>
        </w:rPr>
        <w:t>]</w:t>
      </w:r>
      <w:r w:rsidR="001937F6" w:rsidRPr="00987897">
        <w:rPr>
          <w:rFonts w:eastAsiaTheme="minorHAnsi" w:cstheme="minorBidi"/>
          <w:bCs w:val="0"/>
          <w:color w:val="7A003C"/>
          <w:sz w:val="18"/>
          <w:szCs w:val="18"/>
        </w:rPr>
        <w:tab/>
      </w:r>
      <w:r w:rsidR="001937F6">
        <w:rPr>
          <w:i/>
          <w:color w:val="17365D" w:themeColor="text2" w:themeShade="BF"/>
          <w:sz w:val="28"/>
          <w:szCs w:val="28"/>
        </w:rPr>
        <w:t>Le système présente de multiples avantages pour les assurés</w:t>
      </w:r>
    </w:p>
    <w:p w:rsidR="00B30EF7" w:rsidRDefault="00B30EF7" w:rsidP="00B30EF7">
      <w:pPr>
        <w:spacing w:after="120"/>
        <w:jc w:val="left"/>
        <w:rPr>
          <w:color w:val="262626" w:themeColor="text1" w:themeTint="D9"/>
          <w:sz w:val="20"/>
          <w:szCs w:val="20"/>
        </w:rPr>
      </w:pPr>
      <w:r w:rsidRPr="0008292A">
        <w:rPr>
          <w:color w:val="262626" w:themeColor="text1" w:themeTint="D9"/>
          <w:sz w:val="20"/>
          <w:szCs w:val="20"/>
        </w:rPr>
        <w:t xml:space="preserve">Ce système de régulation présente divers avantages pour les assurés. </w:t>
      </w:r>
    </w:p>
    <w:p w:rsidR="00B30EF7" w:rsidRPr="0008292A" w:rsidRDefault="00B30EF7" w:rsidP="00B30EF7">
      <w:pPr>
        <w:spacing w:after="120"/>
        <w:jc w:val="left"/>
        <w:rPr>
          <w:color w:val="262626" w:themeColor="text1" w:themeTint="D9"/>
          <w:sz w:val="20"/>
          <w:szCs w:val="20"/>
        </w:rPr>
      </w:pPr>
      <w:r w:rsidRPr="0008292A">
        <w:rPr>
          <w:color w:val="262626" w:themeColor="text1" w:themeTint="D9"/>
          <w:sz w:val="20"/>
          <w:szCs w:val="20"/>
        </w:rPr>
        <w:t>En se rendant dans un magasin du réseau, ces derniers peuvent bénéficier :</w:t>
      </w:r>
    </w:p>
    <w:p w:rsidR="00B30EF7" w:rsidRPr="00B30EF7" w:rsidRDefault="00B30EF7" w:rsidP="00B30EF7">
      <w:pPr>
        <w:pStyle w:val="Paragraphedeliste"/>
        <w:numPr>
          <w:ilvl w:val="0"/>
          <w:numId w:val="24"/>
        </w:numPr>
        <w:spacing w:after="120"/>
        <w:ind w:left="993" w:hanging="426"/>
        <w:contextualSpacing w:val="0"/>
        <w:jc w:val="left"/>
        <w:rPr>
          <w:b/>
          <w:color w:val="262626" w:themeColor="text1" w:themeTint="D9"/>
          <w:sz w:val="20"/>
          <w:szCs w:val="20"/>
        </w:rPr>
      </w:pPr>
      <w:r w:rsidRPr="00B30EF7">
        <w:rPr>
          <w:b/>
          <w:color w:val="262626" w:themeColor="text1" w:themeTint="D9"/>
          <w:sz w:val="20"/>
          <w:szCs w:val="20"/>
        </w:rPr>
        <w:t>de tarifs réduits à qualité de prestation égale, voire supérieure ;</w:t>
      </w:r>
    </w:p>
    <w:p w:rsidR="00B30EF7" w:rsidRPr="00B30EF7" w:rsidRDefault="00B30EF7" w:rsidP="00B30EF7">
      <w:pPr>
        <w:pStyle w:val="Paragraphedeliste"/>
        <w:numPr>
          <w:ilvl w:val="0"/>
          <w:numId w:val="24"/>
        </w:numPr>
        <w:spacing w:after="120"/>
        <w:ind w:left="1418" w:hanging="425"/>
        <w:contextualSpacing w:val="0"/>
        <w:jc w:val="left"/>
        <w:rPr>
          <w:b/>
          <w:color w:val="262626" w:themeColor="text1" w:themeTint="D9"/>
          <w:sz w:val="20"/>
          <w:szCs w:val="20"/>
        </w:rPr>
      </w:pPr>
      <w:r w:rsidRPr="00B30EF7">
        <w:rPr>
          <w:b/>
          <w:color w:val="262626" w:themeColor="text1" w:themeTint="D9"/>
          <w:sz w:val="20"/>
          <w:szCs w:val="20"/>
        </w:rPr>
        <w:t>d’une meilleure prise en charge financière par leur complémentaire ;</w:t>
      </w:r>
    </w:p>
    <w:p w:rsidR="00B30EF7" w:rsidRPr="00B30EF7" w:rsidRDefault="00B30EF7" w:rsidP="00B30EF7">
      <w:pPr>
        <w:pStyle w:val="Paragraphedeliste"/>
        <w:numPr>
          <w:ilvl w:val="0"/>
          <w:numId w:val="24"/>
        </w:numPr>
        <w:spacing w:after="120"/>
        <w:ind w:left="1843" w:hanging="425"/>
        <w:contextualSpacing w:val="0"/>
        <w:jc w:val="left"/>
        <w:rPr>
          <w:b/>
          <w:color w:val="262626" w:themeColor="text1" w:themeTint="D9"/>
          <w:sz w:val="20"/>
          <w:szCs w:val="20"/>
        </w:rPr>
      </w:pPr>
      <w:r w:rsidRPr="00B30EF7">
        <w:rPr>
          <w:b/>
          <w:color w:val="262626" w:themeColor="text1" w:themeTint="D9"/>
          <w:sz w:val="20"/>
          <w:szCs w:val="20"/>
        </w:rPr>
        <w:t>d’une dispense d’avance de frais </w:t>
      </w:r>
      <w:r w:rsidRPr="00B30EF7">
        <w:rPr>
          <w:color w:val="262626" w:themeColor="text1" w:themeTint="D9"/>
          <w:sz w:val="20"/>
          <w:szCs w:val="20"/>
        </w:rPr>
        <w:t>(tiers-payant)</w:t>
      </w:r>
      <w:r w:rsidRPr="00B30EF7">
        <w:rPr>
          <w:b/>
          <w:color w:val="262626" w:themeColor="text1" w:themeTint="D9"/>
          <w:sz w:val="20"/>
          <w:szCs w:val="20"/>
        </w:rPr>
        <w:t xml:space="preserve"> ;</w:t>
      </w:r>
    </w:p>
    <w:p w:rsidR="00B30EF7" w:rsidRDefault="00B30EF7" w:rsidP="00B30EF7">
      <w:pPr>
        <w:pStyle w:val="Paragraphedeliste"/>
        <w:numPr>
          <w:ilvl w:val="0"/>
          <w:numId w:val="24"/>
        </w:numPr>
        <w:spacing w:after="120"/>
        <w:ind w:left="2268" w:right="2124" w:hanging="425"/>
        <w:contextualSpacing w:val="0"/>
        <w:jc w:val="left"/>
        <w:rPr>
          <w:b/>
          <w:color w:val="262626" w:themeColor="text1" w:themeTint="D9"/>
          <w:sz w:val="20"/>
          <w:szCs w:val="20"/>
        </w:rPr>
      </w:pPr>
      <w:r w:rsidRPr="00B30EF7">
        <w:rPr>
          <w:b/>
          <w:color w:val="262626" w:themeColor="text1" w:themeTint="D9"/>
          <w:sz w:val="20"/>
          <w:szCs w:val="20"/>
        </w:rPr>
        <w:t xml:space="preserve">de services ou produits annexes gratuits </w:t>
      </w:r>
      <w:r w:rsidRPr="00B30EF7">
        <w:rPr>
          <w:color w:val="262626" w:themeColor="text1" w:themeTint="D9"/>
          <w:sz w:val="20"/>
          <w:szCs w:val="20"/>
        </w:rPr>
        <w:t>(assurance « casse », traitement des verres, étui rigide).</w:t>
      </w:r>
    </w:p>
    <w:p w:rsidR="00B30EF7" w:rsidRPr="00B30EF7" w:rsidRDefault="00B30EF7" w:rsidP="00B30EF7">
      <w:pPr>
        <w:pStyle w:val="Paragraphedeliste"/>
        <w:spacing w:after="120"/>
        <w:ind w:left="2268" w:right="2124"/>
        <w:contextualSpacing w:val="0"/>
        <w:jc w:val="left"/>
        <w:rPr>
          <w:b/>
          <w:color w:val="262626" w:themeColor="text1" w:themeTint="D9"/>
          <w:sz w:val="20"/>
          <w:szCs w:val="20"/>
        </w:rPr>
      </w:pPr>
    </w:p>
    <w:p w:rsidR="00B30EF7" w:rsidRDefault="00B30EF7" w:rsidP="00B30EF7">
      <w:pPr>
        <w:pStyle w:val="Paragraphedeliste"/>
        <w:ind w:left="0"/>
        <w:contextualSpacing w:val="0"/>
        <w:jc w:val="left"/>
        <w:rPr>
          <w:color w:val="262626" w:themeColor="text1" w:themeTint="D9"/>
          <w:sz w:val="20"/>
          <w:szCs w:val="20"/>
        </w:rPr>
        <w:sectPr w:rsidR="00B30EF7" w:rsidSect="00415E08">
          <w:type w:val="continuous"/>
          <w:pgSz w:w="11906" w:h="16838"/>
          <w:pgMar w:top="1928" w:right="1418" w:bottom="1135" w:left="993" w:header="709" w:footer="709" w:gutter="0"/>
          <w:cols w:space="708"/>
          <w:docGrid w:linePitch="360"/>
        </w:sectPr>
      </w:pPr>
    </w:p>
    <w:p w:rsidR="00B30EF7" w:rsidRPr="0008292A" w:rsidRDefault="00B30EF7" w:rsidP="00B30EF7">
      <w:pPr>
        <w:pStyle w:val="Paragraphedeliste"/>
        <w:ind w:left="0"/>
        <w:contextualSpacing w:val="0"/>
        <w:jc w:val="left"/>
        <w:rPr>
          <w:color w:val="262626" w:themeColor="text1" w:themeTint="D9"/>
          <w:sz w:val="20"/>
          <w:szCs w:val="20"/>
        </w:rPr>
      </w:pPr>
      <w:r w:rsidRPr="0008292A">
        <w:rPr>
          <w:color w:val="262626" w:themeColor="text1" w:themeTint="D9"/>
          <w:sz w:val="20"/>
          <w:szCs w:val="20"/>
        </w:rPr>
        <w:lastRenderedPageBreak/>
        <w:t>L’achat de lunettes constitue une dépense importante pour les ménages, parfois même « </w:t>
      </w:r>
      <w:proofErr w:type="spellStart"/>
      <w:r w:rsidRPr="0008292A">
        <w:rPr>
          <w:color w:val="262626" w:themeColor="text1" w:themeTint="D9"/>
          <w:sz w:val="20"/>
          <w:szCs w:val="20"/>
        </w:rPr>
        <w:t>désincitative</w:t>
      </w:r>
      <w:proofErr w:type="spellEnd"/>
      <w:r w:rsidRPr="0008292A">
        <w:rPr>
          <w:color w:val="262626" w:themeColor="text1" w:themeTint="D9"/>
          <w:sz w:val="20"/>
          <w:szCs w:val="20"/>
        </w:rPr>
        <w:t xml:space="preserve"> ». Selon une étude de la Drees sur le renoncement aux soins, plus de 2 millions de personnes auraient déjà renoncé, ou reporté, l’achat de lunettes de vue pour des raisons financières (4,1% de la population adulte). Pour ces personnes, </w:t>
      </w:r>
      <w:r>
        <w:rPr>
          <w:color w:val="262626" w:themeColor="text1" w:themeTint="D9"/>
          <w:sz w:val="20"/>
          <w:szCs w:val="20"/>
        </w:rPr>
        <w:t>ce renoncement</w:t>
      </w:r>
      <w:r w:rsidRPr="0008292A">
        <w:rPr>
          <w:color w:val="262626" w:themeColor="text1" w:themeTint="D9"/>
          <w:sz w:val="20"/>
          <w:szCs w:val="20"/>
        </w:rPr>
        <w:t xml:space="preserve"> est dommageable en termes de qualité de vie, mais également en termes de productivité au travail.</w:t>
      </w:r>
    </w:p>
    <w:p w:rsidR="00B30EF7" w:rsidRPr="0008292A" w:rsidRDefault="00B30EF7" w:rsidP="00B30EF7">
      <w:pPr>
        <w:pStyle w:val="Paragraphedeliste"/>
        <w:ind w:left="0"/>
        <w:contextualSpacing w:val="0"/>
        <w:jc w:val="left"/>
        <w:rPr>
          <w:color w:val="262626" w:themeColor="text1" w:themeTint="D9"/>
          <w:sz w:val="20"/>
          <w:szCs w:val="20"/>
        </w:rPr>
      </w:pPr>
      <w:r w:rsidRPr="0008292A">
        <w:rPr>
          <w:color w:val="262626" w:themeColor="text1" w:themeTint="D9"/>
          <w:sz w:val="20"/>
          <w:szCs w:val="20"/>
        </w:rPr>
        <w:lastRenderedPageBreak/>
        <w:t xml:space="preserve">En moyenne, un équipement d’optique doté de verres </w:t>
      </w:r>
      <w:proofErr w:type="spellStart"/>
      <w:r w:rsidRPr="0008292A">
        <w:rPr>
          <w:color w:val="262626" w:themeColor="text1" w:themeTint="D9"/>
          <w:sz w:val="20"/>
          <w:szCs w:val="20"/>
        </w:rPr>
        <w:t>unifocaux</w:t>
      </w:r>
      <w:proofErr w:type="spellEnd"/>
      <w:r w:rsidRPr="0008292A">
        <w:rPr>
          <w:color w:val="262626" w:themeColor="text1" w:themeTint="D9"/>
          <w:sz w:val="20"/>
          <w:szCs w:val="20"/>
        </w:rPr>
        <w:t xml:space="preserve"> (optique simple) coûte 277 euros, dont en moyenne plus de 20% reste à la charge de l’assuré. Un équipement monté de verres progressifs (optique complexe) revient en moyenne à 591 euros, dont en moyenne la moitié est supportée par l’assuré.</w:t>
      </w:r>
    </w:p>
    <w:p w:rsidR="00B30EF7" w:rsidRDefault="00B30EF7" w:rsidP="00B30EF7">
      <w:pPr>
        <w:sectPr w:rsidR="00B30EF7" w:rsidSect="00B30EF7">
          <w:type w:val="continuous"/>
          <w:pgSz w:w="11906" w:h="16838"/>
          <w:pgMar w:top="1928" w:right="1418" w:bottom="1135" w:left="993" w:header="709" w:footer="709" w:gutter="0"/>
          <w:cols w:num="2" w:space="708"/>
          <w:docGrid w:linePitch="360"/>
        </w:sectPr>
      </w:pPr>
    </w:p>
    <w:p w:rsidR="0007533D" w:rsidRDefault="00F86138" w:rsidP="0031703E">
      <w:pPr>
        <w:rPr>
          <w:color w:val="auto"/>
        </w:rPr>
      </w:pPr>
      <w:r>
        <w:rPr>
          <w:noProof/>
          <w:color w:val="auto"/>
          <w:lang w:eastAsia="fr-FR"/>
        </w:rPr>
        <w:lastRenderedPageBreak/>
        <w:pict>
          <v:shape id="_x0000_s1077" type="#_x0000_t202" style="position:absolute;left:0;text-align:left;margin-left:2.3pt;margin-top:12.15pt;width:389.05pt;height:45pt;z-index:251726848;mso-width-relative:margin;mso-height-relative:margin" filled="f" stroked="f">
            <v:textbox style="mso-next-textbox:#_x0000_s1077">
              <w:txbxContent>
                <w:p w:rsidR="00144D6D" w:rsidRDefault="00144D6D" w:rsidP="0007533D">
                  <w:pPr>
                    <w:tabs>
                      <w:tab w:val="left" w:pos="993"/>
                    </w:tabs>
                    <w:spacing w:after="0" w:line="240" w:lineRule="auto"/>
                    <w:ind w:left="990" w:hanging="990"/>
                    <w:jc w:val="left"/>
                    <w:rPr>
                      <w:b/>
                      <w:color w:val="262626" w:themeColor="text1" w:themeTint="D9"/>
                      <w:sz w:val="20"/>
                      <w:szCs w:val="20"/>
                    </w:rPr>
                  </w:pPr>
                  <w:r>
                    <w:rPr>
                      <w:color w:val="7A003C"/>
                      <w:sz w:val="18"/>
                      <w:szCs w:val="18"/>
                    </w:rPr>
                    <w:t>Graph 17</w:t>
                  </w:r>
                  <w:r w:rsidRPr="00987897">
                    <w:rPr>
                      <w:color w:val="7A003C"/>
                      <w:sz w:val="18"/>
                      <w:szCs w:val="18"/>
                    </w:rPr>
                    <w:t>.</w:t>
                  </w:r>
                  <w:r>
                    <w:rPr>
                      <w:color w:val="7A003C"/>
                      <w:sz w:val="18"/>
                      <w:szCs w:val="18"/>
                    </w:rPr>
                    <w:tab/>
                  </w:r>
                  <w:r>
                    <w:rPr>
                      <w:b/>
                      <w:color w:val="262626" w:themeColor="text1" w:themeTint="D9"/>
                      <w:sz w:val="20"/>
                      <w:szCs w:val="20"/>
                    </w:rPr>
                    <w:t>Structure moyenne du financement de lunettes vue coûtant 200€ et 500€</w:t>
                  </w:r>
                </w:p>
                <w:p w:rsidR="00144D6D" w:rsidRPr="00987897" w:rsidRDefault="00144D6D" w:rsidP="0007533D">
                  <w:pPr>
                    <w:tabs>
                      <w:tab w:val="left" w:pos="993"/>
                    </w:tabs>
                    <w:spacing w:after="0" w:line="240" w:lineRule="auto"/>
                    <w:ind w:left="990" w:hanging="990"/>
                    <w:jc w:val="left"/>
                    <w:rPr>
                      <w:i/>
                      <w:color w:val="262626" w:themeColor="text1" w:themeTint="D9"/>
                      <w:sz w:val="18"/>
                      <w:szCs w:val="18"/>
                    </w:rPr>
                  </w:pPr>
                  <w:r>
                    <w:rPr>
                      <w:color w:val="7A003C"/>
                      <w:sz w:val="18"/>
                      <w:szCs w:val="18"/>
                    </w:rPr>
                    <w:tab/>
                  </w:r>
                  <w:r>
                    <w:rPr>
                      <w:i/>
                      <w:color w:val="262626" w:themeColor="text1" w:themeTint="D9"/>
                      <w:sz w:val="18"/>
                      <w:szCs w:val="18"/>
                    </w:rPr>
                    <w:t>En euros</w:t>
                  </w:r>
                </w:p>
                <w:p w:rsidR="00144D6D" w:rsidRPr="00987897" w:rsidRDefault="00144D6D" w:rsidP="0007533D">
                  <w:pPr>
                    <w:rPr>
                      <w:color w:val="7A003C"/>
                      <w:sz w:val="18"/>
                      <w:szCs w:val="18"/>
                    </w:rPr>
                  </w:pPr>
                </w:p>
              </w:txbxContent>
            </v:textbox>
          </v:shape>
        </w:pict>
      </w:r>
    </w:p>
    <w:p w:rsidR="0007533D" w:rsidRDefault="0007533D" w:rsidP="0031703E">
      <w:pPr>
        <w:rPr>
          <w:color w:val="auto"/>
        </w:rPr>
      </w:pPr>
      <w:r w:rsidRPr="00F77C53">
        <w:rPr>
          <w:noProof/>
          <w:color w:val="E36C0A" w:themeColor="accent6" w:themeShade="BF"/>
          <w:lang w:eastAsia="fr-FR"/>
        </w:rPr>
        <w:drawing>
          <wp:anchor distT="0" distB="0" distL="114300" distR="114300" simplePos="0" relativeHeight="251727872" behindDoc="0" locked="0" layoutInCell="1" allowOverlap="1">
            <wp:simplePos x="0" y="0"/>
            <wp:positionH relativeFrom="column">
              <wp:posOffset>17145</wp:posOffset>
            </wp:positionH>
            <wp:positionV relativeFrom="paragraph">
              <wp:posOffset>240030</wp:posOffset>
            </wp:positionV>
            <wp:extent cx="5886450" cy="2505075"/>
            <wp:effectExtent l="0" t="0" r="0" b="0"/>
            <wp:wrapNone/>
            <wp:docPr id="18"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p w:rsidR="0007533D" w:rsidRDefault="0007533D" w:rsidP="0031703E">
      <w:pPr>
        <w:rPr>
          <w:color w:val="auto"/>
        </w:rPr>
      </w:pPr>
    </w:p>
    <w:p w:rsidR="0007533D" w:rsidRDefault="0007533D" w:rsidP="0031703E">
      <w:pPr>
        <w:rPr>
          <w:color w:val="auto"/>
        </w:rPr>
      </w:pPr>
    </w:p>
    <w:p w:rsidR="0007533D" w:rsidRDefault="0007533D" w:rsidP="0031703E">
      <w:pPr>
        <w:rPr>
          <w:color w:val="auto"/>
        </w:rPr>
      </w:pPr>
    </w:p>
    <w:p w:rsidR="0007533D" w:rsidRDefault="0007533D" w:rsidP="0031703E">
      <w:pPr>
        <w:rPr>
          <w:color w:val="auto"/>
        </w:rPr>
      </w:pPr>
    </w:p>
    <w:p w:rsidR="0007533D" w:rsidRDefault="0007533D" w:rsidP="0031703E">
      <w:pPr>
        <w:rPr>
          <w:color w:val="auto"/>
        </w:rPr>
      </w:pPr>
    </w:p>
    <w:p w:rsidR="0007533D" w:rsidRDefault="0007533D" w:rsidP="0031703E">
      <w:pPr>
        <w:rPr>
          <w:color w:val="auto"/>
        </w:rPr>
      </w:pPr>
    </w:p>
    <w:p w:rsidR="0007533D" w:rsidRDefault="0007533D" w:rsidP="0031703E">
      <w:pPr>
        <w:rPr>
          <w:color w:val="auto"/>
        </w:rPr>
      </w:pPr>
    </w:p>
    <w:p w:rsidR="0007533D" w:rsidRDefault="00F86138" w:rsidP="0031703E">
      <w:pPr>
        <w:rPr>
          <w:color w:val="auto"/>
        </w:rPr>
      </w:pPr>
      <w:r>
        <w:rPr>
          <w:noProof/>
          <w:color w:val="auto"/>
          <w:lang w:eastAsia="fr-FR"/>
        </w:rPr>
        <w:pict>
          <v:shape id="_x0000_s1078" type="#_x0000_t202" style="position:absolute;left:0;text-align:left;margin-left:1.55pt;margin-top:19.75pt;width:207.4pt;height:26.25pt;z-index:251728896;mso-width-relative:margin;mso-height-relative:margin;v-text-anchor:middle" filled="f" stroked="f">
            <v:textbox>
              <w:txbxContent>
                <w:p w:rsidR="00144D6D" w:rsidRPr="00C9097E" w:rsidRDefault="00144D6D" w:rsidP="00A51C03">
                  <w:pPr>
                    <w:spacing w:after="0" w:line="240" w:lineRule="auto"/>
                    <w:jc w:val="left"/>
                    <w:rPr>
                      <w:color w:val="262626" w:themeColor="text1" w:themeTint="D9"/>
                      <w:sz w:val="18"/>
                      <w:szCs w:val="18"/>
                    </w:rPr>
                  </w:pPr>
                  <w:r w:rsidRPr="00C9097E">
                    <w:rPr>
                      <w:color w:val="262626" w:themeColor="text1" w:themeTint="D9"/>
                      <w:sz w:val="18"/>
                      <w:szCs w:val="18"/>
                    </w:rPr>
                    <w:t xml:space="preserve">Source : </w:t>
                  </w:r>
                  <w:r>
                    <w:rPr>
                      <w:color w:val="262626" w:themeColor="text1" w:themeTint="D9"/>
                      <w:sz w:val="18"/>
                      <w:szCs w:val="18"/>
                    </w:rPr>
                    <w:t>Drees</w:t>
                  </w:r>
                </w:p>
                <w:p w:rsidR="00144D6D" w:rsidRPr="00C9097E" w:rsidRDefault="00144D6D" w:rsidP="00A51C03">
                  <w:pPr>
                    <w:jc w:val="left"/>
                    <w:rPr>
                      <w:color w:val="262626" w:themeColor="text1" w:themeTint="D9"/>
                      <w:sz w:val="18"/>
                      <w:szCs w:val="18"/>
                    </w:rPr>
                  </w:pPr>
                </w:p>
              </w:txbxContent>
            </v:textbox>
          </v:shape>
        </w:pict>
      </w:r>
    </w:p>
    <w:p w:rsidR="0007533D" w:rsidRDefault="0007533D" w:rsidP="0031703E">
      <w:pPr>
        <w:rPr>
          <w:color w:val="auto"/>
        </w:rPr>
      </w:pPr>
    </w:p>
    <w:p w:rsidR="0007533D" w:rsidRDefault="0007533D" w:rsidP="0031703E">
      <w:pPr>
        <w:rPr>
          <w:color w:val="auto"/>
        </w:rPr>
      </w:pPr>
    </w:p>
    <w:p w:rsidR="00A51C03" w:rsidRDefault="00A51C03" w:rsidP="0031703E">
      <w:pPr>
        <w:rPr>
          <w:color w:val="auto"/>
        </w:rPr>
        <w:sectPr w:rsidR="00A51C03" w:rsidSect="00415E08">
          <w:type w:val="continuous"/>
          <w:pgSz w:w="11906" w:h="16838"/>
          <w:pgMar w:top="1928" w:right="1418" w:bottom="1135" w:left="993" w:header="709" w:footer="709" w:gutter="0"/>
          <w:cols w:space="708"/>
          <w:docGrid w:linePitch="360"/>
        </w:sectPr>
      </w:pPr>
    </w:p>
    <w:p w:rsidR="00DB4EBD" w:rsidRPr="0008292A" w:rsidRDefault="00DB4EBD" w:rsidP="00A51C03">
      <w:pPr>
        <w:pStyle w:val="Paragraphedeliste"/>
        <w:spacing w:after="120"/>
        <w:ind w:left="0"/>
        <w:contextualSpacing w:val="0"/>
        <w:jc w:val="left"/>
        <w:rPr>
          <w:color w:val="262626" w:themeColor="text1" w:themeTint="D9"/>
          <w:sz w:val="20"/>
          <w:szCs w:val="20"/>
        </w:rPr>
      </w:pPr>
      <w:r w:rsidRPr="0008292A">
        <w:rPr>
          <w:color w:val="262626" w:themeColor="text1" w:themeTint="D9"/>
          <w:sz w:val="20"/>
          <w:szCs w:val="20"/>
        </w:rPr>
        <w:lastRenderedPageBreak/>
        <w:t xml:space="preserve">Au vu de la dépense que représente l’achat de lunettes, les réseaux conventionnés sont un enjeu majeur pour la santé oculaire de la population car ils permettent de : </w:t>
      </w:r>
    </w:p>
    <w:p w:rsidR="00DB4EBD" w:rsidRPr="0008292A" w:rsidRDefault="00DB4EBD" w:rsidP="00C020D6">
      <w:pPr>
        <w:pStyle w:val="Paragraphedeliste"/>
        <w:numPr>
          <w:ilvl w:val="0"/>
          <w:numId w:val="16"/>
        </w:numPr>
        <w:spacing w:after="120"/>
        <w:ind w:left="284" w:hanging="284"/>
        <w:contextualSpacing w:val="0"/>
        <w:jc w:val="left"/>
        <w:rPr>
          <w:color w:val="262626" w:themeColor="text1" w:themeTint="D9"/>
          <w:sz w:val="20"/>
          <w:szCs w:val="20"/>
        </w:rPr>
      </w:pPr>
      <w:r w:rsidRPr="0008292A">
        <w:rPr>
          <w:color w:val="262626" w:themeColor="text1" w:themeTint="D9"/>
          <w:sz w:val="20"/>
          <w:szCs w:val="20"/>
        </w:rPr>
        <w:t>réduire sensiblement le reste à charge </w:t>
      </w:r>
      <w:r w:rsidR="00DB6BE0">
        <w:rPr>
          <w:color w:val="262626" w:themeColor="text1" w:themeTint="D9"/>
          <w:sz w:val="20"/>
          <w:szCs w:val="20"/>
        </w:rPr>
        <w:t xml:space="preserve">des patients </w:t>
      </w:r>
      <w:r w:rsidRPr="0008292A">
        <w:rPr>
          <w:i/>
          <w:color w:val="262626" w:themeColor="text1" w:themeTint="D9"/>
          <w:sz w:val="20"/>
          <w:szCs w:val="20"/>
        </w:rPr>
        <w:t xml:space="preserve">via </w:t>
      </w:r>
      <w:r w:rsidRPr="0008292A">
        <w:rPr>
          <w:color w:val="262626" w:themeColor="text1" w:themeTint="D9"/>
          <w:sz w:val="20"/>
          <w:szCs w:val="20"/>
        </w:rPr>
        <w:t xml:space="preserve">des </w:t>
      </w:r>
      <w:r w:rsidR="00BC3D15">
        <w:rPr>
          <w:color w:val="262626" w:themeColor="text1" w:themeTint="D9"/>
          <w:sz w:val="20"/>
          <w:szCs w:val="20"/>
        </w:rPr>
        <w:t>lunettes</w:t>
      </w:r>
      <w:r w:rsidRPr="0008292A">
        <w:rPr>
          <w:color w:val="262626" w:themeColor="text1" w:themeTint="D9"/>
          <w:sz w:val="20"/>
          <w:szCs w:val="20"/>
        </w:rPr>
        <w:t xml:space="preserve"> moins onéreuses et mieux remboursées ;</w:t>
      </w:r>
    </w:p>
    <w:p w:rsidR="00DB4EBD" w:rsidRPr="0008292A" w:rsidRDefault="00BC3D15" w:rsidP="00C020D6">
      <w:pPr>
        <w:pStyle w:val="Paragraphedeliste"/>
        <w:numPr>
          <w:ilvl w:val="0"/>
          <w:numId w:val="16"/>
        </w:numPr>
        <w:spacing w:after="120"/>
        <w:ind w:left="284" w:hanging="284"/>
        <w:contextualSpacing w:val="0"/>
        <w:jc w:val="left"/>
        <w:rPr>
          <w:color w:val="262626" w:themeColor="text1" w:themeTint="D9"/>
          <w:sz w:val="20"/>
          <w:szCs w:val="20"/>
        </w:rPr>
      </w:pPr>
      <w:r>
        <w:rPr>
          <w:color w:val="262626" w:themeColor="text1" w:themeTint="D9"/>
          <w:sz w:val="20"/>
          <w:szCs w:val="20"/>
        </w:rPr>
        <w:t>limiter, toute chose égale par ailleurs, la revalorisation des primes d’assurance sur le long terme (</w:t>
      </w:r>
      <w:r w:rsidR="00DB4EBD" w:rsidRPr="0008292A">
        <w:rPr>
          <w:color w:val="262626" w:themeColor="text1" w:themeTint="D9"/>
          <w:sz w:val="20"/>
          <w:szCs w:val="20"/>
        </w:rPr>
        <w:t xml:space="preserve">le système permet aux OCAM de réaliser des économies, ce qui se répercute </w:t>
      </w:r>
      <w:r>
        <w:rPr>
          <w:color w:val="262626" w:themeColor="text1" w:themeTint="D9"/>
          <w:sz w:val="20"/>
          <w:szCs w:val="20"/>
        </w:rPr>
        <w:t>en bout de course</w:t>
      </w:r>
      <w:r w:rsidR="00DB4EBD" w:rsidRPr="0008292A">
        <w:rPr>
          <w:color w:val="262626" w:themeColor="text1" w:themeTint="D9"/>
          <w:sz w:val="20"/>
          <w:szCs w:val="20"/>
        </w:rPr>
        <w:t xml:space="preserve"> sur le montant des primes</w:t>
      </w:r>
      <w:r>
        <w:rPr>
          <w:color w:val="262626" w:themeColor="text1" w:themeTint="D9"/>
          <w:sz w:val="20"/>
          <w:szCs w:val="20"/>
        </w:rPr>
        <w:t>)</w:t>
      </w:r>
      <w:r w:rsidR="00DB4EBD" w:rsidRPr="0008292A">
        <w:rPr>
          <w:color w:val="262626" w:themeColor="text1" w:themeTint="D9"/>
          <w:sz w:val="20"/>
          <w:szCs w:val="20"/>
        </w:rPr>
        <w:t xml:space="preserve">. </w:t>
      </w:r>
    </w:p>
    <w:p w:rsidR="00A51C03" w:rsidRPr="0008292A" w:rsidRDefault="00A51C03" w:rsidP="00A51C03">
      <w:pPr>
        <w:pStyle w:val="Paragraphedeliste"/>
        <w:ind w:left="0"/>
        <w:contextualSpacing w:val="0"/>
        <w:jc w:val="left"/>
        <w:rPr>
          <w:color w:val="262626" w:themeColor="text1" w:themeTint="D9"/>
          <w:sz w:val="20"/>
          <w:szCs w:val="20"/>
        </w:rPr>
      </w:pPr>
    </w:p>
    <w:p w:rsidR="00A51C03" w:rsidRPr="0008292A" w:rsidRDefault="00A51C03" w:rsidP="00A51C03">
      <w:pPr>
        <w:pStyle w:val="Paragraphedeliste"/>
        <w:ind w:left="0"/>
        <w:contextualSpacing w:val="0"/>
        <w:jc w:val="left"/>
        <w:rPr>
          <w:color w:val="262626" w:themeColor="text1" w:themeTint="D9"/>
          <w:sz w:val="20"/>
          <w:szCs w:val="20"/>
        </w:rPr>
      </w:pPr>
    </w:p>
    <w:p w:rsidR="00DB4EBD" w:rsidRPr="0008292A" w:rsidRDefault="00DB4EBD" w:rsidP="00A51C03">
      <w:pPr>
        <w:pStyle w:val="Paragraphedeliste"/>
        <w:ind w:left="0"/>
        <w:contextualSpacing w:val="0"/>
        <w:jc w:val="left"/>
        <w:rPr>
          <w:color w:val="262626" w:themeColor="text1" w:themeTint="D9"/>
          <w:sz w:val="20"/>
          <w:szCs w:val="20"/>
        </w:rPr>
      </w:pPr>
      <w:r w:rsidRPr="0008292A">
        <w:rPr>
          <w:color w:val="262626" w:themeColor="text1" w:themeTint="D9"/>
          <w:sz w:val="20"/>
          <w:szCs w:val="20"/>
        </w:rPr>
        <w:lastRenderedPageBreak/>
        <w:t xml:space="preserve">D’après Harmonie mutuelles, le reste à charge d’un équipement d’optique au sein de son </w:t>
      </w:r>
      <w:r w:rsidR="00A51C03" w:rsidRPr="0008292A">
        <w:rPr>
          <w:color w:val="262626" w:themeColor="text1" w:themeTint="D9"/>
          <w:sz w:val="20"/>
          <w:szCs w:val="20"/>
        </w:rPr>
        <w:t>réseau était en moyenne de 113</w:t>
      </w:r>
      <w:r w:rsidRPr="0008292A">
        <w:rPr>
          <w:color w:val="262626" w:themeColor="text1" w:themeTint="D9"/>
          <w:sz w:val="20"/>
          <w:szCs w:val="20"/>
        </w:rPr>
        <w:t xml:space="preserve"> euros en 2011, contre </w:t>
      </w:r>
      <w:r w:rsidR="00A51C03" w:rsidRPr="0008292A">
        <w:rPr>
          <w:color w:val="262626" w:themeColor="text1" w:themeTint="D9"/>
          <w:sz w:val="20"/>
          <w:szCs w:val="20"/>
        </w:rPr>
        <w:t>162</w:t>
      </w:r>
      <w:r w:rsidRPr="0008292A">
        <w:rPr>
          <w:color w:val="262626" w:themeColor="text1" w:themeTint="D9"/>
          <w:sz w:val="20"/>
          <w:szCs w:val="20"/>
        </w:rPr>
        <w:t xml:space="preserve"> euros en dehors du réseau. Les assurés d’Harmonie mutuelles s’étant orientés vers un opticien conventionné ont ainsi réal</w:t>
      </w:r>
      <w:r w:rsidR="00A51C03" w:rsidRPr="0008292A">
        <w:rPr>
          <w:color w:val="262626" w:themeColor="text1" w:themeTint="D9"/>
          <w:sz w:val="20"/>
          <w:szCs w:val="20"/>
        </w:rPr>
        <w:t>isé une économie moyenne de 30</w:t>
      </w:r>
      <w:r w:rsidRPr="0008292A">
        <w:rPr>
          <w:color w:val="262626" w:themeColor="text1" w:themeTint="D9"/>
          <w:sz w:val="20"/>
          <w:szCs w:val="20"/>
        </w:rPr>
        <w:t xml:space="preserve">%. </w:t>
      </w:r>
    </w:p>
    <w:p w:rsidR="00DB4EBD" w:rsidRPr="0008292A" w:rsidRDefault="00DB4EBD" w:rsidP="00A51C03">
      <w:pPr>
        <w:pStyle w:val="Paragraphedeliste"/>
        <w:ind w:left="0"/>
        <w:contextualSpacing w:val="0"/>
        <w:jc w:val="left"/>
        <w:rPr>
          <w:color w:val="262626" w:themeColor="text1" w:themeTint="D9"/>
          <w:sz w:val="20"/>
          <w:szCs w:val="20"/>
        </w:rPr>
      </w:pPr>
      <w:r w:rsidRPr="0008292A">
        <w:rPr>
          <w:color w:val="262626" w:themeColor="text1" w:themeTint="D9"/>
          <w:sz w:val="20"/>
          <w:szCs w:val="20"/>
        </w:rPr>
        <w:t xml:space="preserve">Les avantages offerts dans les réseaux sont variables d’un OCAM à un autre. Certaines complémentaires mettent par exemple l’accent sur des tarifs négociés particulièrement faibles tandis que d’autres privilégient des taux de remboursement plus importants. Par ailleurs, les avantages </w:t>
      </w:r>
      <w:r w:rsidR="0054359F" w:rsidRPr="0008292A">
        <w:rPr>
          <w:color w:val="262626" w:themeColor="text1" w:themeTint="D9"/>
          <w:sz w:val="20"/>
          <w:szCs w:val="20"/>
        </w:rPr>
        <w:t>offerts</w:t>
      </w:r>
      <w:r w:rsidRPr="0008292A">
        <w:rPr>
          <w:color w:val="262626" w:themeColor="text1" w:themeTint="D9"/>
          <w:sz w:val="20"/>
          <w:szCs w:val="20"/>
        </w:rPr>
        <w:t xml:space="preserve"> au sein d’un réseau peuvent varier selon les </w:t>
      </w:r>
      <w:r w:rsidR="0054359F" w:rsidRPr="0008292A">
        <w:rPr>
          <w:color w:val="262626" w:themeColor="text1" w:themeTint="D9"/>
          <w:sz w:val="20"/>
          <w:szCs w:val="20"/>
        </w:rPr>
        <w:t xml:space="preserve">différents </w:t>
      </w:r>
      <w:r w:rsidRPr="0008292A">
        <w:rPr>
          <w:color w:val="262626" w:themeColor="text1" w:themeTint="D9"/>
          <w:sz w:val="20"/>
          <w:szCs w:val="20"/>
        </w:rPr>
        <w:t xml:space="preserve">contrats proposés par une même complémentaire. </w:t>
      </w:r>
    </w:p>
    <w:p w:rsidR="00A51C03" w:rsidRDefault="00A51C03" w:rsidP="00DB4EBD">
      <w:pPr>
        <w:pStyle w:val="Paragraphedeliste"/>
        <w:ind w:left="1134"/>
        <w:contextualSpacing w:val="0"/>
        <w:sectPr w:rsidR="00A51C03" w:rsidSect="00A51C03">
          <w:type w:val="continuous"/>
          <w:pgSz w:w="11906" w:h="16838"/>
          <w:pgMar w:top="1928" w:right="1418" w:bottom="1135" w:left="993" w:header="709" w:footer="709" w:gutter="0"/>
          <w:cols w:num="2" w:space="708"/>
          <w:docGrid w:linePitch="360"/>
        </w:sectPr>
      </w:pPr>
    </w:p>
    <w:p w:rsidR="00DB4EBD" w:rsidRDefault="00DB4EBD" w:rsidP="00DB4EBD">
      <w:pPr>
        <w:pStyle w:val="Paragraphedeliste"/>
        <w:ind w:left="1134"/>
        <w:contextualSpacing w:val="0"/>
      </w:pPr>
    </w:p>
    <w:p w:rsidR="006E6CDC" w:rsidRDefault="006E6CDC" w:rsidP="00DB4EBD">
      <w:pPr>
        <w:pStyle w:val="Paragraphedeliste"/>
        <w:ind w:left="1134"/>
        <w:contextualSpacing w:val="0"/>
      </w:pPr>
    </w:p>
    <w:p w:rsidR="00A51C03" w:rsidRDefault="00F86138" w:rsidP="00DB4EBD">
      <w:pPr>
        <w:pStyle w:val="Paragraphedeliste"/>
        <w:ind w:left="1134"/>
        <w:contextualSpacing w:val="0"/>
      </w:pPr>
      <w:r>
        <w:rPr>
          <w:noProof/>
          <w:lang w:eastAsia="fr-FR"/>
        </w:rPr>
        <w:pict>
          <v:rect id="_x0000_s1079" style="position:absolute;left:0;text-align:left;margin-left:-51.65pt;margin-top:16.6pt;width:600pt;height:214.5pt;z-index:251729920;v-text-anchor:middle" fillcolor="#f2f2f2 [3052]" strokeweight="1pt">
            <v:stroke dashstyle="1 1" endcap="round"/>
            <v:textbox style="mso-next-textbox:#_x0000_s1079">
              <w:txbxContent>
                <w:p w:rsidR="00144D6D" w:rsidRPr="0008292A" w:rsidRDefault="00144D6D" w:rsidP="00A51C03">
                  <w:pPr>
                    <w:pStyle w:val="Textedebase"/>
                    <w:ind w:left="992" w:right="176"/>
                    <w:jc w:val="left"/>
                    <w:rPr>
                      <w:b/>
                      <w:sz w:val="18"/>
                      <w:szCs w:val="18"/>
                    </w:rPr>
                  </w:pPr>
                  <w:r>
                    <w:rPr>
                      <w:color w:val="7A003C"/>
                      <w:sz w:val="18"/>
                      <w:szCs w:val="18"/>
                    </w:rPr>
                    <w:t>Encadré 4</w:t>
                  </w:r>
                  <w:r w:rsidRPr="009E3627">
                    <w:rPr>
                      <w:color w:val="7A003C"/>
                      <w:sz w:val="18"/>
                      <w:szCs w:val="18"/>
                    </w:rPr>
                    <w:t>.</w:t>
                  </w:r>
                  <w:r w:rsidRPr="009E3627">
                    <w:rPr>
                      <w:color w:val="7A003C"/>
                      <w:sz w:val="18"/>
                      <w:szCs w:val="18"/>
                    </w:rPr>
                    <w:tab/>
                  </w:r>
                  <w:r w:rsidRPr="0008292A">
                    <w:rPr>
                      <w:b/>
                      <w:sz w:val="18"/>
                      <w:szCs w:val="18"/>
                    </w:rPr>
                    <w:t xml:space="preserve"> </w:t>
                  </w:r>
                  <w:r w:rsidRPr="0008292A">
                    <w:rPr>
                      <w:b/>
                      <w:szCs w:val="20"/>
                    </w:rPr>
                    <w:t>Les réseaux conventionnés sont critiqués pour de mauvaises raisons</w:t>
                  </w:r>
                  <w:r w:rsidRPr="0008292A">
                    <w:rPr>
                      <w:b/>
                      <w:sz w:val="18"/>
                      <w:szCs w:val="18"/>
                    </w:rPr>
                    <w:t xml:space="preserve"> </w:t>
                  </w:r>
                </w:p>
                <w:p w:rsidR="00144D6D" w:rsidRPr="0008292A" w:rsidRDefault="00144D6D" w:rsidP="00A51C03">
                  <w:pPr>
                    <w:pStyle w:val="Paragraphedeliste"/>
                    <w:spacing w:after="120"/>
                    <w:ind w:left="851" w:right="1479"/>
                    <w:contextualSpacing w:val="0"/>
                    <w:rPr>
                      <w:color w:val="262626" w:themeColor="text1" w:themeTint="D9"/>
                      <w:sz w:val="18"/>
                      <w:szCs w:val="18"/>
                    </w:rPr>
                  </w:pPr>
                  <w:r w:rsidRPr="0008292A">
                    <w:rPr>
                      <w:b/>
                      <w:color w:val="262626" w:themeColor="text1" w:themeTint="D9"/>
                      <w:sz w:val="18"/>
                      <w:szCs w:val="18"/>
                    </w:rPr>
                    <w:t>La Fédération nationale des opticiens de France (FNOF) critique le système des réseaux conventionnés.</w:t>
                  </w:r>
                  <w:r w:rsidRPr="0008292A">
                    <w:rPr>
                      <w:color w:val="262626" w:themeColor="text1" w:themeTint="D9"/>
                      <w:sz w:val="18"/>
                      <w:szCs w:val="18"/>
                    </w:rPr>
                    <w:t xml:space="preserve"> Selon elle, ce système serait pénalisant pour les assurés en termes de prestation et de remboursement s’ils ne se rendent pas chez un opticien conventionné. Pour la FNOF, certains assurés auraient d’ailleurs des difficultés à accéder aux réseaux pour cause d’éloignement géographique. Enfin, même les assurés se rendant chez les opticiens du réseau seraient lésés car contraints dans leurs choix de produits.</w:t>
                  </w:r>
                </w:p>
                <w:p w:rsidR="00144D6D" w:rsidRPr="0008292A" w:rsidRDefault="00144D6D" w:rsidP="00A51C03">
                  <w:pPr>
                    <w:tabs>
                      <w:tab w:val="left" w:pos="3261"/>
                      <w:tab w:val="left" w:pos="6237"/>
                    </w:tabs>
                    <w:spacing w:after="0" w:line="288" w:lineRule="auto"/>
                    <w:ind w:left="851" w:right="1479"/>
                    <w:rPr>
                      <w:color w:val="262626" w:themeColor="text1" w:themeTint="D9"/>
                      <w:sz w:val="18"/>
                      <w:szCs w:val="18"/>
                    </w:rPr>
                  </w:pPr>
                  <w:r w:rsidRPr="0008292A">
                    <w:rPr>
                      <w:b/>
                      <w:color w:val="262626" w:themeColor="text1" w:themeTint="D9"/>
                      <w:sz w:val="18"/>
                      <w:szCs w:val="18"/>
                    </w:rPr>
                    <w:t xml:space="preserve">Ces arguments nous paraissent fragiles. </w:t>
                  </w:r>
                  <w:r w:rsidRPr="0008292A">
                    <w:rPr>
                      <w:color w:val="262626" w:themeColor="text1" w:themeTint="D9"/>
                      <w:sz w:val="18"/>
                      <w:szCs w:val="18"/>
                    </w:rPr>
                    <w:t>En effet, les assurés sont libres de sélectionner l’opticien de leur choix. S’ils se dirigent vers les adhérents du réseau, ils bénéficient d’avantages. En revanche, s’ils s’orientent en dehors du réseau, ils ne sont en rien pénalisés car ils bénéficient toujours de la prise en charge habituelle par leur complémentaire. En d’autres termes, le système des réseaux conventionnés ne repose pas sur des mesures « punitives », mais uniquement sur des mesures « incitatives ». Ce mode de régulation va donc dans le sens des récentes études économétriques démontrant que des incitations positives sont souvent plus efficaces que des incitations par « sanction ».</w:t>
                  </w:r>
                </w:p>
              </w:txbxContent>
            </v:textbox>
          </v:rect>
        </w:pict>
      </w:r>
    </w:p>
    <w:p w:rsidR="00A51C03" w:rsidRDefault="00A51C03" w:rsidP="00DB4EBD">
      <w:pPr>
        <w:pStyle w:val="Paragraphedeliste"/>
        <w:ind w:left="1134"/>
        <w:contextualSpacing w:val="0"/>
      </w:pPr>
    </w:p>
    <w:p w:rsidR="00A51C03" w:rsidRDefault="00A51C03" w:rsidP="00DB4EBD">
      <w:pPr>
        <w:pStyle w:val="Paragraphedeliste"/>
        <w:ind w:left="1134"/>
        <w:contextualSpacing w:val="0"/>
      </w:pPr>
    </w:p>
    <w:p w:rsidR="00A51C03" w:rsidRDefault="00A51C03" w:rsidP="00DB4EBD">
      <w:pPr>
        <w:pStyle w:val="Paragraphedeliste"/>
        <w:ind w:left="1134"/>
        <w:contextualSpacing w:val="0"/>
      </w:pPr>
    </w:p>
    <w:p w:rsidR="00A51C03" w:rsidRDefault="00A51C03" w:rsidP="00DB4EBD">
      <w:pPr>
        <w:pStyle w:val="Paragraphedeliste"/>
        <w:ind w:left="1134"/>
        <w:contextualSpacing w:val="0"/>
      </w:pPr>
    </w:p>
    <w:p w:rsidR="00A51C03" w:rsidRDefault="00A51C03" w:rsidP="00DB4EBD">
      <w:pPr>
        <w:pStyle w:val="Paragraphedeliste"/>
        <w:ind w:left="1134"/>
        <w:contextualSpacing w:val="0"/>
      </w:pPr>
    </w:p>
    <w:p w:rsidR="00A51C03" w:rsidRDefault="00A51C03" w:rsidP="00DB4EBD">
      <w:pPr>
        <w:pStyle w:val="Paragraphedeliste"/>
        <w:ind w:left="1134"/>
        <w:contextualSpacing w:val="0"/>
      </w:pPr>
    </w:p>
    <w:p w:rsidR="00A51C03" w:rsidRDefault="00A51C03" w:rsidP="00DB4EBD">
      <w:pPr>
        <w:pStyle w:val="Paragraphedeliste"/>
        <w:ind w:left="1134"/>
        <w:contextualSpacing w:val="0"/>
      </w:pPr>
    </w:p>
    <w:p w:rsidR="00A51C03" w:rsidRDefault="00A51C03" w:rsidP="00DB4EBD">
      <w:pPr>
        <w:pStyle w:val="Paragraphedeliste"/>
        <w:ind w:left="1134"/>
        <w:contextualSpacing w:val="0"/>
      </w:pPr>
    </w:p>
    <w:p w:rsidR="00DB4EBD" w:rsidRDefault="00DB4EBD" w:rsidP="00DB4EBD">
      <w:pPr>
        <w:spacing w:after="0" w:line="240" w:lineRule="auto"/>
        <w:jc w:val="left"/>
        <w:rPr>
          <w:color w:val="17365D"/>
        </w:rPr>
      </w:pPr>
    </w:p>
    <w:p w:rsidR="00DB4EBD" w:rsidRDefault="00DB4EBD" w:rsidP="00DB4EBD">
      <w:pPr>
        <w:spacing w:after="0" w:line="240" w:lineRule="auto"/>
        <w:jc w:val="left"/>
        <w:rPr>
          <w:color w:val="17365D"/>
        </w:rPr>
      </w:pPr>
    </w:p>
    <w:p w:rsidR="0054359F" w:rsidRDefault="0054359F" w:rsidP="00DB4EBD">
      <w:pPr>
        <w:spacing w:after="0" w:line="240" w:lineRule="auto"/>
        <w:jc w:val="left"/>
        <w:rPr>
          <w:color w:val="17365D"/>
        </w:rPr>
      </w:pPr>
    </w:p>
    <w:p w:rsidR="0054359F" w:rsidRDefault="0054359F" w:rsidP="00DB4EBD">
      <w:pPr>
        <w:spacing w:after="0" w:line="240" w:lineRule="auto"/>
        <w:jc w:val="left"/>
        <w:rPr>
          <w:color w:val="17365D"/>
        </w:rPr>
      </w:pPr>
    </w:p>
    <w:p w:rsidR="00A51C03" w:rsidRDefault="00A51C03" w:rsidP="00DB4EBD">
      <w:pPr>
        <w:spacing w:after="0" w:line="240" w:lineRule="auto"/>
        <w:jc w:val="left"/>
        <w:rPr>
          <w:color w:val="17365D"/>
        </w:rPr>
      </w:pPr>
    </w:p>
    <w:p w:rsidR="00A51C03" w:rsidRDefault="00A51C03" w:rsidP="00DB4EBD">
      <w:pPr>
        <w:spacing w:after="0" w:line="240" w:lineRule="auto"/>
        <w:jc w:val="left"/>
        <w:rPr>
          <w:color w:val="17365D"/>
        </w:rPr>
      </w:pPr>
    </w:p>
    <w:p w:rsidR="00A51C03" w:rsidRDefault="00A51C03" w:rsidP="00DB4EBD">
      <w:pPr>
        <w:spacing w:after="0" w:line="240" w:lineRule="auto"/>
        <w:jc w:val="left"/>
        <w:rPr>
          <w:color w:val="17365D"/>
        </w:rPr>
      </w:pPr>
    </w:p>
    <w:p w:rsidR="00A51C03" w:rsidRDefault="00A51C03" w:rsidP="00DB4EBD">
      <w:pPr>
        <w:spacing w:after="0" w:line="240" w:lineRule="auto"/>
        <w:jc w:val="left"/>
        <w:rPr>
          <w:color w:val="17365D"/>
        </w:rPr>
      </w:pPr>
    </w:p>
    <w:p w:rsidR="00A51C03" w:rsidRDefault="00A51C03" w:rsidP="00DB4EBD">
      <w:pPr>
        <w:spacing w:after="0" w:line="240" w:lineRule="auto"/>
        <w:jc w:val="left"/>
        <w:rPr>
          <w:color w:val="17365D"/>
        </w:rPr>
      </w:pPr>
    </w:p>
    <w:p w:rsidR="00A51C03" w:rsidRDefault="00A51C03" w:rsidP="00DB4EBD">
      <w:pPr>
        <w:spacing w:after="0" w:line="240" w:lineRule="auto"/>
        <w:jc w:val="left"/>
        <w:rPr>
          <w:color w:val="17365D"/>
        </w:rPr>
      </w:pPr>
    </w:p>
    <w:p w:rsidR="00A51C03" w:rsidRDefault="00A51C03" w:rsidP="00DB4EBD">
      <w:pPr>
        <w:spacing w:after="0" w:line="240" w:lineRule="auto"/>
        <w:jc w:val="left"/>
        <w:rPr>
          <w:color w:val="17365D"/>
        </w:rPr>
      </w:pPr>
    </w:p>
    <w:p w:rsidR="00A51C03" w:rsidRDefault="00A51C03" w:rsidP="00DB4EBD">
      <w:pPr>
        <w:spacing w:after="0" w:line="240" w:lineRule="auto"/>
        <w:jc w:val="left"/>
        <w:rPr>
          <w:color w:val="17365D"/>
        </w:rPr>
      </w:pPr>
    </w:p>
    <w:p w:rsidR="00A51C03" w:rsidRDefault="00A51C03" w:rsidP="00DB4EBD">
      <w:pPr>
        <w:spacing w:after="0" w:line="240" w:lineRule="auto"/>
        <w:jc w:val="left"/>
        <w:rPr>
          <w:color w:val="17365D"/>
        </w:rPr>
      </w:pPr>
    </w:p>
    <w:p w:rsidR="00A51C03" w:rsidRDefault="00A51C03" w:rsidP="00DB4EBD">
      <w:pPr>
        <w:spacing w:after="0" w:line="240" w:lineRule="auto"/>
        <w:jc w:val="left"/>
        <w:rPr>
          <w:color w:val="17365D"/>
        </w:rPr>
      </w:pPr>
    </w:p>
    <w:p w:rsidR="00A51C03" w:rsidRDefault="00A51C03" w:rsidP="00DB4EBD">
      <w:pPr>
        <w:spacing w:after="0" w:line="240" w:lineRule="auto"/>
        <w:jc w:val="left"/>
        <w:rPr>
          <w:color w:val="17365D"/>
        </w:rPr>
      </w:pPr>
    </w:p>
    <w:p w:rsidR="00A51C03" w:rsidRDefault="00A51C03" w:rsidP="00DB4EBD">
      <w:pPr>
        <w:spacing w:after="0" w:line="240" w:lineRule="auto"/>
        <w:jc w:val="left"/>
        <w:rPr>
          <w:color w:val="17365D"/>
        </w:rPr>
      </w:pPr>
    </w:p>
    <w:p w:rsidR="00E1528D" w:rsidRPr="0008292A" w:rsidRDefault="00E1528D" w:rsidP="0054359F">
      <w:pPr>
        <w:rPr>
          <w:color w:val="262626" w:themeColor="text1" w:themeTint="D9"/>
          <w:sz w:val="20"/>
          <w:szCs w:val="20"/>
        </w:rPr>
      </w:pPr>
    </w:p>
    <w:p w:rsidR="00A51C03" w:rsidRPr="0008292A" w:rsidRDefault="00A51C03" w:rsidP="0054359F">
      <w:pPr>
        <w:rPr>
          <w:color w:val="262626" w:themeColor="text1" w:themeTint="D9"/>
          <w:sz w:val="20"/>
          <w:szCs w:val="20"/>
        </w:rPr>
      </w:pPr>
    </w:p>
    <w:p w:rsidR="00A51C03" w:rsidRPr="0008292A" w:rsidRDefault="00A51C03" w:rsidP="0054359F">
      <w:pPr>
        <w:rPr>
          <w:color w:val="262626" w:themeColor="text1" w:themeTint="D9"/>
          <w:sz w:val="20"/>
          <w:szCs w:val="20"/>
        </w:rPr>
        <w:sectPr w:rsidR="00A51C03" w:rsidRPr="0008292A" w:rsidSect="00F323AB">
          <w:type w:val="continuous"/>
          <w:pgSz w:w="11906" w:h="16838"/>
          <w:pgMar w:top="1928" w:right="1418" w:bottom="1135" w:left="993" w:header="709" w:footer="709" w:gutter="0"/>
          <w:cols w:num="2" w:space="707"/>
          <w:docGrid w:linePitch="360"/>
        </w:sectPr>
      </w:pPr>
    </w:p>
    <w:p w:rsidR="00E360C2" w:rsidRDefault="00E360C2" w:rsidP="0054359F"/>
    <w:p w:rsidR="00E1528D" w:rsidRDefault="00E1528D" w:rsidP="0054359F"/>
    <w:p w:rsidR="00A51C03" w:rsidRDefault="00A51C03" w:rsidP="0054359F"/>
    <w:p w:rsidR="00A51C03" w:rsidRDefault="00A51C03" w:rsidP="0054359F"/>
    <w:p w:rsidR="00A51C03" w:rsidRDefault="00A51C03" w:rsidP="0054359F"/>
    <w:p w:rsidR="00A51C03" w:rsidRDefault="00A51C03" w:rsidP="0054359F"/>
    <w:p w:rsidR="0008292A" w:rsidRDefault="0008292A" w:rsidP="0054359F"/>
    <w:p w:rsidR="0008292A" w:rsidRDefault="0008292A" w:rsidP="0054359F"/>
    <w:p w:rsidR="00391929" w:rsidRDefault="00391929" w:rsidP="006E6CDC">
      <w:pPr>
        <w:ind w:right="1"/>
        <w:rPr>
          <w:szCs w:val="20"/>
        </w:rPr>
      </w:pPr>
    </w:p>
    <w:p w:rsidR="00F56785" w:rsidRDefault="00C0602A" w:rsidP="00F56785">
      <w:pPr>
        <w:ind w:left="4111" w:right="1"/>
        <w:rPr>
          <w:szCs w:val="20"/>
        </w:rPr>
      </w:pPr>
      <w:r>
        <w:rPr>
          <w:noProof/>
          <w:szCs w:val="20"/>
          <w:lang w:eastAsia="fr-FR"/>
        </w:rPr>
        <w:drawing>
          <wp:anchor distT="0" distB="0" distL="114300" distR="114300" simplePos="0" relativeHeight="251735040" behindDoc="0" locked="0" layoutInCell="1" allowOverlap="1">
            <wp:simplePos x="0" y="0"/>
            <wp:positionH relativeFrom="column">
              <wp:posOffset>-88265</wp:posOffset>
            </wp:positionH>
            <wp:positionV relativeFrom="paragraph">
              <wp:posOffset>271145</wp:posOffset>
            </wp:positionV>
            <wp:extent cx="1123950" cy="390525"/>
            <wp:effectExtent l="19050" t="0" r="0" b="0"/>
            <wp:wrapNone/>
            <wp:docPr id="57" name="Image 23" descr="LOGO ASTERES V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TERES VF.jpg"/>
                    <pic:cNvPicPr/>
                  </pic:nvPicPr>
                  <pic:blipFill>
                    <a:blip r:embed="rId38" cstate="print"/>
                    <a:stretch>
                      <a:fillRect/>
                    </a:stretch>
                  </pic:blipFill>
                  <pic:spPr>
                    <a:xfrm>
                      <a:off x="0" y="0"/>
                      <a:ext cx="1123950" cy="390525"/>
                    </a:xfrm>
                    <a:prstGeom prst="rect">
                      <a:avLst/>
                    </a:prstGeom>
                  </pic:spPr>
                </pic:pic>
              </a:graphicData>
            </a:graphic>
          </wp:anchor>
        </w:drawing>
      </w:r>
    </w:p>
    <w:p w:rsidR="00C0602A" w:rsidRDefault="00C0602A" w:rsidP="00A924E4">
      <w:pPr>
        <w:spacing w:after="120" w:line="264" w:lineRule="auto"/>
        <w:ind w:right="5526"/>
        <w:rPr>
          <w:color w:val="262626" w:themeColor="text1" w:themeTint="D9"/>
          <w:sz w:val="18"/>
          <w:szCs w:val="18"/>
        </w:rPr>
      </w:pPr>
    </w:p>
    <w:p w:rsidR="005A0346" w:rsidRDefault="005A0346" w:rsidP="00A924E4">
      <w:pPr>
        <w:spacing w:after="120" w:line="264" w:lineRule="auto"/>
        <w:ind w:right="5526"/>
        <w:rPr>
          <w:color w:val="262626" w:themeColor="text1" w:themeTint="D9"/>
          <w:sz w:val="16"/>
          <w:szCs w:val="16"/>
        </w:rPr>
      </w:pPr>
    </w:p>
    <w:p w:rsidR="00F56785" w:rsidRPr="00A924E4" w:rsidRDefault="00F56785" w:rsidP="00A924E4">
      <w:pPr>
        <w:spacing w:after="120" w:line="264" w:lineRule="auto"/>
        <w:ind w:right="5526"/>
        <w:rPr>
          <w:color w:val="262626" w:themeColor="text1" w:themeTint="D9"/>
          <w:sz w:val="16"/>
          <w:szCs w:val="16"/>
        </w:rPr>
      </w:pPr>
      <w:proofErr w:type="spellStart"/>
      <w:r w:rsidRPr="00A924E4">
        <w:rPr>
          <w:color w:val="262626" w:themeColor="text1" w:themeTint="D9"/>
          <w:sz w:val="16"/>
          <w:szCs w:val="16"/>
        </w:rPr>
        <w:t>Asterès</w:t>
      </w:r>
      <w:proofErr w:type="spellEnd"/>
      <w:r w:rsidRPr="00A924E4">
        <w:rPr>
          <w:color w:val="262626" w:themeColor="text1" w:themeTint="D9"/>
          <w:sz w:val="16"/>
          <w:szCs w:val="16"/>
        </w:rPr>
        <w:t xml:space="preserve"> est un cabinet </w:t>
      </w:r>
      <w:r w:rsidR="00C0602A">
        <w:rPr>
          <w:color w:val="262626" w:themeColor="text1" w:themeTint="D9"/>
          <w:sz w:val="16"/>
          <w:szCs w:val="16"/>
        </w:rPr>
        <w:t>d’études</w:t>
      </w:r>
      <w:r w:rsidRPr="00A924E4">
        <w:rPr>
          <w:bCs/>
          <w:color w:val="262626" w:themeColor="text1" w:themeTint="D9"/>
          <w:sz w:val="16"/>
          <w:szCs w:val="16"/>
        </w:rPr>
        <w:t xml:space="preserve"> économique</w:t>
      </w:r>
      <w:r w:rsidR="00C0602A">
        <w:rPr>
          <w:bCs/>
          <w:color w:val="262626" w:themeColor="text1" w:themeTint="D9"/>
          <w:sz w:val="16"/>
          <w:szCs w:val="16"/>
        </w:rPr>
        <w:t>s</w:t>
      </w:r>
      <w:r w:rsidRPr="00A924E4">
        <w:rPr>
          <w:bCs/>
          <w:color w:val="262626" w:themeColor="text1" w:themeTint="D9"/>
          <w:sz w:val="16"/>
          <w:szCs w:val="16"/>
        </w:rPr>
        <w:t xml:space="preserve"> et de conseil</w:t>
      </w:r>
      <w:r w:rsidRPr="00A924E4">
        <w:rPr>
          <w:color w:val="262626" w:themeColor="text1" w:themeTint="D9"/>
          <w:sz w:val="16"/>
          <w:szCs w:val="16"/>
        </w:rPr>
        <w:t>.</w:t>
      </w:r>
    </w:p>
    <w:p w:rsidR="00F56785" w:rsidRPr="00A924E4" w:rsidRDefault="00F56785" w:rsidP="00A924E4">
      <w:pPr>
        <w:spacing w:after="120" w:line="264" w:lineRule="auto"/>
        <w:ind w:right="5526"/>
        <w:rPr>
          <w:color w:val="262626" w:themeColor="text1" w:themeTint="D9"/>
          <w:sz w:val="16"/>
          <w:szCs w:val="16"/>
        </w:rPr>
      </w:pPr>
      <w:r w:rsidRPr="00A924E4">
        <w:rPr>
          <w:color w:val="262626" w:themeColor="text1" w:themeTint="D9"/>
          <w:sz w:val="16"/>
          <w:szCs w:val="16"/>
        </w:rPr>
        <w:t>Nous proposons aux entreprises et au secteur public des outils de réflexion pour orienter l’action.</w:t>
      </w:r>
      <w:r w:rsidR="00C0602A">
        <w:rPr>
          <w:color w:val="262626" w:themeColor="text1" w:themeTint="D9"/>
          <w:sz w:val="16"/>
          <w:szCs w:val="16"/>
        </w:rPr>
        <w:t xml:space="preserve"> Notre mission</w:t>
      </w:r>
      <w:r w:rsidR="00A924E4">
        <w:rPr>
          <w:color w:val="262626" w:themeColor="text1" w:themeTint="D9"/>
          <w:sz w:val="16"/>
          <w:szCs w:val="16"/>
        </w:rPr>
        <w:t xml:space="preserve"> </w:t>
      </w:r>
      <w:r w:rsidRPr="00A924E4">
        <w:rPr>
          <w:bCs/>
          <w:color w:val="262626" w:themeColor="text1" w:themeTint="D9"/>
          <w:sz w:val="16"/>
          <w:szCs w:val="16"/>
        </w:rPr>
        <w:t xml:space="preserve">est de mettre </w:t>
      </w:r>
      <w:r w:rsidR="00C0602A">
        <w:rPr>
          <w:bCs/>
          <w:color w:val="262626" w:themeColor="text1" w:themeTint="D9"/>
          <w:sz w:val="16"/>
          <w:szCs w:val="16"/>
        </w:rPr>
        <w:t>l’expertise</w:t>
      </w:r>
      <w:r w:rsidRPr="00A924E4">
        <w:rPr>
          <w:bCs/>
          <w:color w:val="262626" w:themeColor="text1" w:themeTint="D9"/>
          <w:sz w:val="16"/>
          <w:szCs w:val="16"/>
        </w:rPr>
        <w:t xml:space="preserve"> économique au service du développement de </w:t>
      </w:r>
      <w:r w:rsidR="00A924E4">
        <w:rPr>
          <w:bCs/>
          <w:color w:val="262626" w:themeColor="text1" w:themeTint="D9"/>
          <w:sz w:val="16"/>
          <w:szCs w:val="16"/>
        </w:rPr>
        <w:t>nos</w:t>
      </w:r>
      <w:r w:rsidRPr="00A924E4">
        <w:rPr>
          <w:bCs/>
          <w:color w:val="262626" w:themeColor="text1" w:themeTint="D9"/>
          <w:sz w:val="16"/>
          <w:szCs w:val="16"/>
        </w:rPr>
        <w:t xml:space="preserve"> clients. Ainsi, nous donnons à l’analyse économique son rôle opérationnel.</w:t>
      </w:r>
    </w:p>
    <w:p w:rsidR="00F56785" w:rsidRPr="00A924E4" w:rsidRDefault="00A924E4" w:rsidP="00A924E4">
      <w:pPr>
        <w:spacing w:after="60" w:line="264" w:lineRule="auto"/>
        <w:ind w:right="5526"/>
        <w:rPr>
          <w:color w:val="262626" w:themeColor="text1" w:themeTint="D9"/>
          <w:sz w:val="16"/>
          <w:szCs w:val="16"/>
        </w:rPr>
      </w:pPr>
      <w:r>
        <w:rPr>
          <w:color w:val="262626" w:themeColor="text1" w:themeTint="D9"/>
          <w:sz w:val="16"/>
          <w:szCs w:val="16"/>
        </w:rPr>
        <w:t>Nous proposons à nos</w:t>
      </w:r>
      <w:r w:rsidR="00F56785" w:rsidRPr="00A924E4">
        <w:rPr>
          <w:color w:val="262626" w:themeColor="text1" w:themeTint="D9"/>
          <w:sz w:val="16"/>
          <w:szCs w:val="16"/>
        </w:rPr>
        <w:t xml:space="preserve"> clients :</w:t>
      </w:r>
    </w:p>
    <w:p w:rsidR="00F56785" w:rsidRPr="00A924E4" w:rsidRDefault="00F56785" w:rsidP="00C20058">
      <w:pPr>
        <w:numPr>
          <w:ilvl w:val="0"/>
          <w:numId w:val="19"/>
        </w:numPr>
        <w:spacing w:after="60" w:line="264" w:lineRule="auto"/>
        <w:ind w:left="284" w:right="5526" w:hanging="284"/>
        <w:rPr>
          <w:color w:val="262626" w:themeColor="text1" w:themeTint="D9"/>
          <w:sz w:val="16"/>
          <w:szCs w:val="16"/>
        </w:rPr>
      </w:pPr>
      <w:r w:rsidRPr="00A924E4">
        <w:rPr>
          <w:color w:val="262626" w:themeColor="text1" w:themeTint="D9"/>
          <w:sz w:val="16"/>
          <w:szCs w:val="16"/>
        </w:rPr>
        <w:t>des analyses macroéconomiques et sectorielles ;</w:t>
      </w:r>
    </w:p>
    <w:p w:rsidR="00F56785" w:rsidRPr="00A924E4" w:rsidRDefault="00F56785" w:rsidP="00C20058">
      <w:pPr>
        <w:numPr>
          <w:ilvl w:val="0"/>
          <w:numId w:val="19"/>
        </w:numPr>
        <w:spacing w:after="60" w:line="264" w:lineRule="auto"/>
        <w:ind w:left="284" w:right="5526" w:hanging="284"/>
        <w:rPr>
          <w:color w:val="262626" w:themeColor="text1" w:themeTint="D9"/>
          <w:sz w:val="16"/>
          <w:szCs w:val="16"/>
        </w:rPr>
      </w:pPr>
      <w:r w:rsidRPr="00A924E4">
        <w:rPr>
          <w:color w:val="262626" w:themeColor="text1" w:themeTint="D9"/>
          <w:sz w:val="16"/>
          <w:szCs w:val="16"/>
        </w:rPr>
        <w:t>des prévisions ;</w:t>
      </w:r>
    </w:p>
    <w:p w:rsidR="00F56785" w:rsidRPr="00A924E4" w:rsidRDefault="00F56785" w:rsidP="00C20058">
      <w:pPr>
        <w:numPr>
          <w:ilvl w:val="0"/>
          <w:numId w:val="19"/>
        </w:numPr>
        <w:spacing w:after="120" w:line="264" w:lineRule="auto"/>
        <w:ind w:left="284" w:right="5526" w:hanging="284"/>
        <w:rPr>
          <w:color w:val="262626" w:themeColor="text1" w:themeTint="D9"/>
          <w:sz w:val="16"/>
          <w:szCs w:val="16"/>
        </w:rPr>
      </w:pPr>
      <w:r w:rsidRPr="00A924E4">
        <w:rPr>
          <w:color w:val="262626" w:themeColor="text1" w:themeTint="D9"/>
          <w:sz w:val="16"/>
          <w:szCs w:val="16"/>
        </w:rPr>
        <w:t xml:space="preserve">des </w:t>
      </w:r>
      <w:r w:rsidR="00C0602A">
        <w:rPr>
          <w:color w:val="262626" w:themeColor="text1" w:themeTint="D9"/>
          <w:sz w:val="16"/>
          <w:szCs w:val="16"/>
        </w:rPr>
        <w:t>enquêtes de conjoncture.</w:t>
      </w:r>
    </w:p>
    <w:p w:rsidR="00F56785" w:rsidRPr="00A924E4" w:rsidRDefault="00A924E4" w:rsidP="00A924E4">
      <w:pPr>
        <w:spacing w:after="120" w:line="264" w:lineRule="auto"/>
        <w:ind w:right="5526"/>
        <w:rPr>
          <w:color w:val="262626" w:themeColor="text1" w:themeTint="D9"/>
          <w:sz w:val="16"/>
          <w:szCs w:val="16"/>
        </w:rPr>
      </w:pPr>
      <w:r>
        <w:rPr>
          <w:color w:val="262626" w:themeColor="text1" w:themeTint="D9"/>
          <w:sz w:val="16"/>
          <w:szCs w:val="16"/>
        </w:rPr>
        <w:t>Nous menons</w:t>
      </w:r>
      <w:r w:rsidR="00F56785" w:rsidRPr="00A924E4">
        <w:rPr>
          <w:color w:val="262626" w:themeColor="text1" w:themeTint="D9"/>
          <w:sz w:val="16"/>
          <w:szCs w:val="16"/>
        </w:rPr>
        <w:t xml:space="preserve"> également des missions de conseil en développement &amp; attractivité économique.</w:t>
      </w:r>
    </w:p>
    <w:p w:rsidR="00A924E4" w:rsidRPr="00A924E4" w:rsidRDefault="00F86138" w:rsidP="00A924E4">
      <w:pPr>
        <w:spacing w:after="120" w:line="264" w:lineRule="auto"/>
        <w:ind w:right="5526"/>
        <w:rPr>
          <w:color w:val="262626" w:themeColor="text1" w:themeTint="D9"/>
          <w:sz w:val="16"/>
          <w:szCs w:val="16"/>
        </w:rPr>
      </w:pPr>
      <w:r>
        <w:rPr>
          <w:noProof/>
          <w:color w:val="262626" w:themeColor="text1" w:themeTint="D9"/>
          <w:sz w:val="16"/>
          <w:szCs w:val="16"/>
          <w:lang w:eastAsia="fr-FR"/>
        </w:rPr>
        <w:pict>
          <v:shape id="_x0000_s1089" type="#_x0000_t32" style="position:absolute;left:0;text-align:left;margin-left:-2.45pt;margin-top:4.05pt;width:212.25pt;height:0;z-index:251741184" o:connectortype="straight" strokecolor="#7f7f7f [1612]">
            <v:stroke dashstyle="1 1" endcap="round"/>
          </v:shape>
        </w:pict>
      </w:r>
    </w:p>
    <w:p w:rsidR="00A924E4" w:rsidRPr="00A924E4" w:rsidRDefault="00A924E4" w:rsidP="00A924E4">
      <w:pPr>
        <w:spacing w:after="120" w:line="264" w:lineRule="auto"/>
        <w:ind w:right="5526"/>
        <w:rPr>
          <w:color w:val="262626" w:themeColor="text1" w:themeTint="D9"/>
          <w:sz w:val="16"/>
          <w:szCs w:val="16"/>
        </w:rPr>
      </w:pPr>
      <w:proofErr w:type="spellStart"/>
      <w:r w:rsidRPr="00A924E4">
        <w:rPr>
          <w:color w:val="262626" w:themeColor="text1" w:themeTint="D9"/>
          <w:sz w:val="16"/>
          <w:szCs w:val="16"/>
        </w:rPr>
        <w:t>Asterès</w:t>
      </w:r>
      <w:proofErr w:type="spellEnd"/>
      <w:r w:rsidRPr="00A924E4">
        <w:rPr>
          <w:color w:val="262626" w:themeColor="text1" w:themeTint="D9"/>
          <w:sz w:val="16"/>
          <w:szCs w:val="16"/>
        </w:rPr>
        <w:t xml:space="preserve"> se veut une entreprise citoyenne et, à ce titre, </w:t>
      </w:r>
      <w:r>
        <w:rPr>
          <w:color w:val="262626" w:themeColor="text1" w:themeTint="D9"/>
          <w:sz w:val="16"/>
          <w:szCs w:val="16"/>
        </w:rPr>
        <w:t>nous respectons</w:t>
      </w:r>
      <w:r w:rsidRPr="00A924E4">
        <w:rPr>
          <w:color w:val="262626" w:themeColor="text1" w:themeTint="D9"/>
          <w:sz w:val="16"/>
          <w:szCs w:val="16"/>
        </w:rPr>
        <w:t xml:space="preserve"> un certain nombre de principes :</w:t>
      </w:r>
    </w:p>
    <w:p w:rsidR="00A924E4" w:rsidRPr="00A924E4" w:rsidRDefault="00A924E4" w:rsidP="00C20058">
      <w:pPr>
        <w:pStyle w:val="Paragraphedeliste"/>
        <w:numPr>
          <w:ilvl w:val="0"/>
          <w:numId w:val="22"/>
        </w:numPr>
        <w:spacing w:after="60" w:line="264" w:lineRule="auto"/>
        <w:ind w:left="284" w:right="5526" w:hanging="283"/>
        <w:contextualSpacing w:val="0"/>
        <w:rPr>
          <w:color w:val="262626" w:themeColor="text1" w:themeTint="D9"/>
          <w:sz w:val="16"/>
          <w:szCs w:val="16"/>
        </w:rPr>
      </w:pPr>
      <w:r w:rsidRPr="00A924E4">
        <w:rPr>
          <w:color w:val="262626" w:themeColor="text1" w:themeTint="D9"/>
          <w:sz w:val="16"/>
          <w:szCs w:val="16"/>
        </w:rPr>
        <w:t>Réalisation d’activités non marchandes, notamment dans le domaine de la pédagogie économique et du conseil aux gouvernements (afin d’éviter tout risque de conflit d’intérêts)</w:t>
      </w:r>
      <w:r>
        <w:rPr>
          <w:color w:val="262626" w:themeColor="text1" w:themeTint="D9"/>
          <w:sz w:val="16"/>
          <w:szCs w:val="16"/>
        </w:rPr>
        <w:t> ;</w:t>
      </w:r>
    </w:p>
    <w:p w:rsidR="00A924E4" w:rsidRPr="00A924E4" w:rsidRDefault="00A924E4" w:rsidP="00C20058">
      <w:pPr>
        <w:pStyle w:val="Paragraphedeliste"/>
        <w:numPr>
          <w:ilvl w:val="0"/>
          <w:numId w:val="22"/>
        </w:numPr>
        <w:spacing w:after="60" w:line="264" w:lineRule="auto"/>
        <w:ind w:left="284" w:right="5526" w:hanging="283"/>
        <w:contextualSpacing w:val="0"/>
        <w:rPr>
          <w:color w:val="262626" w:themeColor="text1" w:themeTint="D9"/>
          <w:sz w:val="16"/>
          <w:szCs w:val="16"/>
        </w:rPr>
      </w:pPr>
      <w:r w:rsidRPr="00A924E4">
        <w:rPr>
          <w:color w:val="262626" w:themeColor="text1" w:themeTint="D9"/>
          <w:sz w:val="16"/>
          <w:szCs w:val="16"/>
        </w:rPr>
        <w:t>Promotion de la liberté individuelle et de la démocratie, notamment dans le cadre des missions réalisées dans les pays émergents</w:t>
      </w:r>
      <w:r>
        <w:rPr>
          <w:color w:val="262626" w:themeColor="text1" w:themeTint="D9"/>
          <w:sz w:val="16"/>
          <w:szCs w:val="16"/>
        </w:rPr>
        <w:t>.</w:t>
      </w:r>
    </w:p>
    <w:p w:rsidR="00A924E4" w:rsidRDefault="00F86138" w:rsidP="00A924E4">
      <w:pPr>
        <w:spacing w:after="120" w:line="264" w:lineRule="auto"/>
        <w:ind w:right="5526"/>
        <w:rPr>
          <w:color w:val="262626" w:themeColor="text1" w:themeTint="D9"/>
          <w:sz w:val="16"/>
          <w:szCs w:val="16"/>
        </w:rPr>
      </w:pPr>
      <w:r>
        <w:rPr>
          <w:noProof/>
          <w:color w:val="262626" w:themeColor="text1" w:themeTint="D9"/>
          <w:sz w:val="16"/>
          <w:szCs w:val="16"/>
          <w:lang w:eastAsia="fr-FR"/>
        </w:rPr>
        <w:pict>
          <v:shape id="_x0000_s1090" type="#_x0000_t32" style="position:absolute;left:0;text-align:left;margin-left:-2.45pt;margin-top:5.35pt;width:212.25pt;height:0;z-index:251742208" o:connectortype="straight" strokecolor="#7f7f7f [1612]">
            <v:stroke dashstyle="1 1" endcap="round"/>
          </v:shape>
        </w:pict>
      </w:r>
    </w:p>
    <w:p w:rsidR="00A924E4" w:rsidRPr="00A924E4" w:rsidRDefault="00A924E4" w:rsidP="00A924E4">
      <w:pPr>
        <w:spacing w:after="120" w:line="264" w:lineRule="auto"/>
        <w:ind w:right="5526"/>
        <w:rPr>
          <w:color w:val="262626" w:themeColor="text1" w:themeTint="D9"/>
          <w:sz w:val="16"/>
          <w:szCs w:val="16"/>
        </w:rPr>
      </w:pPr>
      <w:r w:rsidRPr="00A924E4">
        <w:rPr>
          <w:color w:val="262626" w:themeColor="text1" w:themeTint="D9"/>
          <w:sz w:val="16"/>
          <w:szCs w:val="16"/>
        </w:rPr>
        <w:t xml:space="preserve"> Respect de l’environnement</w:t>
      </w:r>
      <w:r>
        <w:rPr>
          <w:color w:val="262626" w:themeColor="text1" w:themeTint="D9"/>
          <w:sz w:val="16"/>
          <w:szCs w:val="16"/>
        </w:rPr>
        <w:t> :</w:t>
      </w:r>
    </w:p>
    <w:p w:rsidR="00A924E4" w:rsidRPr="00A924E4" w:rsidRDefault="00A924E4" w:rsidP="00A924E4">
      <w:pPr>
        <w:spacing w:after="120" w:line="264" w:lineRule="auto"/>
        <w:ind w:right="5526"/>
        <w:rPr>
          <w:color w:val="262626" w:themeColor="text1" w:themeTint="D9"/>
          <w:sz w:val="16"/>
          <w:szCs w:val="16"/>
        </w:rPr>
      </w:pPr>
      <w:r>
        <w:rPr>
          <w:noProof/>
          <w:color w:val="262626" w:themeColor="text1" w:themeTint="D9"/>
          <w:sz w:val="16"/>
          <w:szCs w:val="16"/>
          <w:lang w:eastAsia="fr-FR"/>
        </w:rPr>
        <w:drawing>
          <wp:anchor distT="0" distB="0" distL="114300" distR="114300" simplePos="0" relativeHeight="251740160" behindDoc="0" locked="0" layoutInCell="1" allowOverlap="1">
            <wp:simplePos x="0" y="0"/>
            <wp:positionH relativeFrom="column">
              <wp:posOffset>-31115</wp:posOffset>
            </wp:positionH>
            <wp:positionV relativeFrom="paragraph">
              <wp:posOffset>50800</wp:posOffset>
            </wp:positionV>
            <wp:extent cx="390525" cy="390525"/>
            <wp:effectExtent l="19050" t="0" r="9525" b="0"/>
            <wp:wrapSquare wrapText="bothSides"/>
            <wp:docPr id="22" name="il_fi" descr="http://www.atheliaentreprendre.fr/wp-content/uploads/2008/09/recycl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theliaentreprendre.fr/wp-content/uploads/2008/09/recyclage-2.jpg"/>
                    <pic:cNvPicPr>
                      <a:picLocks noChangeAspect="1" noChangeArrowheads="1"/>
                    </pic:cNvPicPr>
                  </pic:nvPicPr>
                  <pic:blipFill>
                    <a:blip r:embed="rId39" cstate="print"/>
                    <a:srcRect/>
                    <a:stretch>
                      <a:fillRect/>
                    </a:stretch>
                  </pic:blipFill>
                  <pic:spPr bwMode="auto">
                    <a:xfrm>
                      <a:off x="0" y="0"/>
                      <a:ext cx="390525" cy="390525"/>
                    </a:xfrm>
                    <a:prstGeom prst="rect">
                      <a:avLst/>
                    </a:prstGeom>
                    <a:noFill/>
                    <a:ln w="9525">
                      <a:noFill/>
                      <a:miter lim="800000"/>
                      <a:headEnd/>
                      <a:tailEnd/>
                    </a:ln>
                  </pic:spPr>
                </pic:pic>
              </a:graphicData>
            </a:graphic>
          </wp:anchor>
        </w:drawing>
      </w:r>
      <w:proofErr w:type="spellStart"/>
      <w:r w:rsidRPr="00A924E4">
        <w:rPr>
          <w:color w:val="262626" w:themeColor="text1" w:themeTint="D9"/>
          <w:sz w:val="16"/>
          <w:szCs w:val="16"/>
        </w:rPr>
        <w:t>Asterès</w:t>
      </w:r>
      <w:proofErr w:type="spellEnd"/>
      <w:r w:rsidRPr="00A924E4">
        <w:rPr>
          <w:color w:val="262626" w:themeColor="text1" w:themeTint="D9"/>
          <w:sz w:val="16"/>
          <w:szCs w:val="16"/>
        </w:rPr>
        <w:t xml:space="preserve"> s’engage à limiter l’impact de son activité sur l’environnement par le recyclage, la dématérialisation, les économies d’énergie, et la  limitation des déplacements en avion et en voiture ou leur compensation. Par ailleurs, nos analyses prennent en compte la dimension écologique et environnementale des phénomènes économiques.</w:t>
      </w:r>
      <w:r>
        <w:rPr>
          <w:color w:val="262626" w:themeColor="text1" w:themeTint="D9"/>
          <w:sz w:val="16"/>
          <w:szCs w:val="16"/>
        </w:rPr>
        <w:t xml:space="preserve"> </w:t>
      </w:r>
      <w:r w:rsidRPr="00A924E4">
        <w:rPr>
          <w:color w:val="262626" w:themeColor="text1" w:themeTint="D9"/>
          <w:sz w:val="16"/>
          <w:szCs w:val="16"/>
        </w:rPr>
        <w:t>En matière de conseil, nos  propositions sont formulées dans le souci du respect de l’environnement et de la durabilité du développement.</w:t>
      </w:r>
    </w:p>
    <w:p w:rsidR="00C20058" w:rsidRPr="007171FD" w:rsidRDefault="00C20058" w:rsidP="00F56785">
      <w:pPr>
        <w:ind w:right="1"/>
        <w:rPr>
          <w:sz w:val="19"/>
          <w:szCs w:val="19"/>
        </w:rPr>
      </w:pPr>
    </w:p>
    <w:p w:rsidR="00C0602A" w:rsidRDefault="00F56785" w:rsidP="00A907FE">
      <w:pPr>
        <w:shd w:val="clear" w:color="auto" w:fill="D9D9D9" w:themeFill="background1" w:themeFillShade="D9"/>
        <w:tabs>
          <w:tab w:val="left" w:pos="0"/>
        </w:tabs>
        <w:spacing w:after="0" w:line="240" w:lineRule="auto"/>
        <w:ind w:left="-709" w:right="-1418"/>
        <w:jc w:val="left"/>
        <w:rPr>
          <w:b/>
          <w:color w:val="262626" w:themeColor="text1" w:themeTint="D9"/>
          <w:sz w:val="18"/>
          <w:szCs w:val="18"/>
        </w:rPr>
      </w:pPr>
      <w:r>
        <w:rPr>
          <w:b/>
          <w:color w:val="262626" w:themeColor="text1" w:themeTint="D9"/>
          <w:sz w:val="18"/>
          <w:szCs w:val="18"/>
        </w:rPr>
        <w:tab/>
      </w:r>
    </w:p>
    <w:p w:rsidR="00F56785" w:rsidRPr="00F56785" w:rsidRDefault="00C0602A" w:rsidP="0092159E">
      <w:pPr>
        <w:shd w:val="clear" w:color="auto" w:fill="D9D9D9" w:themeFill="background1" w:themeFillShade="D9"/>
        <w:tabs>
          <w:tab w:val="left" w:pos="0"/>
        </w:tabs>
        <w:spacing w:after="120" w:line="240" w:lineRule="auto"/>
        <w:ind w:left="-709" w:right="-1418"/>
        <w:jc w:val="left"/>
        <w:rPr>
          <w:b/>
          <w:color w:val="7A003C"/>
          <w:sz w:val="18"/>
          <w:szCs w:val="18"/>
        </w:rPr>
      </w:pPr>
      <w:r>
        <w:rPr>
          <w:b/>
          <w:color w:val="7A003C"/>
          <w:sz w:val="18"/>
          <w:szCs w:val="18"/>
        </w:rPr>
        <w:tab/>
      </w:r>
      <w:r w:rsidR="00F56785" w:rsidRPr="00F56785">
        <w:rPr>
          <w:b/>
          <w:color w:val="7A003C"/>
          <w:sz w:val="18"/>
          <w:szCs w:val="18"/>
        </w:rPr>
        <w:t>Nous contacter :</w:t>
      </w:r>
    </w:p>
    <w:p w:rsidR="00F56785" w:rsidRPr="00F56785" w:rsidRDefault="00F56785" w:rsidP="00A907FE">
      <w:pPr>
        <w:shd w:val="clear" w:color="auto" w:fill="D9D9D9" w:themeFill="background1" w:themeFillShade="D9"/>
        <w:tabs>
          <w:tab w:val="left" w:pos="0"/>
        </w:tabs>
        <w:spacing w:after="0" w:line="240" w:lineRule="auto"/>
        <w:ind w:left="-709" w:right="-1418"/>
        <w:jc w:val="left"/>
        <w:rPr>
          <w:color w:val="262626" w:themeColor="text1" w:themeTint="D9"/>
          <w:sz w:val="18"/>
          <w:szCs w:val="18"/>
        </w:rPr>
      </w:pPr>
      <w:r>
        <w:rPr>
          <w:color w:val="262626" w:themeColor="text1" w:themeTint="D9"/>
          <w:sz w:val="18"/>
          <w:szCs w:val="18"/>
        </w:rPr>
        <w:tab/>
      </w:r>
      <w:hyperlink r:id="rId40" w:history="1">
        <w:r w:rsidRPr="00F56785">
          <w:rPr>
            <w:rStyle w:val="Lienhypertexte"/>
            <w:color w:val="262626" w:themeColor="text1" w:themeTint="D9"/>
            <w:sz w:val="18"/>
            <w:szCs w:val="18"/>
            <w:u w:val="none"/>
          </w:rPr>
          <w:t>www.asteres.fr</w:t>
        </w:r>
      </w:hyperlink>
    </w:p>
    <w:p w:rsidR="00F56785" w:rsidRPr="00F56785" w:rsidRDefault="00F56785" w:rsidP="00A907FE">
      <w:pPr>
        <w:shd w:val="clear" w:color="auto" w:fill="D9D9D9" w:themeFill="background1" w:themeFillShade="D9"/>
        <w:tabs>
          <w:tab w:val="left" w:pos="0"/>
        </w:tabs>
        <w:spacing w:after="0" w:line="240" w:lineRule="auto"/>
        <w:ind w:left="-709" w:right="-1418"/>
        <w:jc w:val="left"/>
        <w:rPr>
          <w:color w:val="262626" w:themeColor="text1" w:themeTint="D9"/>
          <w:sz w:val="18"/>
          <w:szCs w:val="18"/>
        </w:rPr>
      </w:pPr>
      <w:r>
        <w:rPr>
          <w:color w:val="262626" w:themeColor="text1" w:themeTint="D9"/>
          <w:sz w:val="18"/>
          <w:szCs w:val="18"/>
        </w:rPr>
        <w:tab/>
      </w:r>
      <w:hyperlink r:id="rId41" w:history="1">
        <w:r w:rsidRPr="00F56785">
          <w:rPr>
            <w:rStyle w:val="Lienhypertexte"/>
            <w:color w:val="262626" w:themeColor="text1" w:themeTint="D9"/>
            <w:sz w:val="18"/>
            <w:szCs w:val="18"/>
            <w:u w:val="none"/>
          </w:rPr>
          <w:t>contact@asteres.fr</w:t>
        </w:r>
      </w:hyperlink>
    </w:p>
    <w:p w:rsidR="00F56785" w:rsidRPr="00F56785" w:rsidRDefault="00F56785" w:rsidP="00A907FE">
      <w:pPr>
        <w:shd w:val="clear" w:color="auto" w:fill="D9D9D9" w:themeFill="background1" w:themeFillShade="D9"/>
        <w:tabs>
          <w:tab w:val="left" w:pos="0"/>
        </w:tabs>
        <w:spacing w:after="0" w:line="240" w:lineRule="auto"/>
        <w:ind w:left="-709" w:right="-1418"/>
        <w:jc w:val="left"/>
        <w:rPr>
          <w:color w:val="262626" w:themeColor="text1" w:themeTint="D9"/>
          <w:sz w:val="18"/>
          <w:szCs w:val="18"/>
        </w:rPr>
      </w:pPr>
      <w:r>
        <w:rPr>
          <w:color w:val="262626" w:themeColor="text1" w:themeTint="D9"/>
          <w:sz w:val="18"/>
          <w:szCs w:val="18"/>
        </w:rPr>
        <w:tab/>
      </w:r>
      <w:r w:rsidRPr="00F56785">
        <w:rPr>
          <w:color w:val="262626" w:themeColor="text1" w:themeTint="D9"/>
          <w:sz w:val="18"/>
          <w:szCs w:val="18"/>
        </w:rPr>
        <w:t>7, rue du chemin vert</w:t>
      </w:r>
      <w:r w:rsidR="00A907FE">
        <w:rPr>
          <w:color w:val="262626" w:themeColor="text1" w:themeTint="D9"/>
          <w:sz w:val="18"/>
          <w:szCs w:val="18"/>
        </w:rPr>
        <w:tab/>
      </w:r>
      <w:r w:rsidR="00A907FE">
        <w:rPr>
          <w:color w:val="262626" w:themeColor="text1" w:themeTint="D9"/>
          <w:sz w:val="18"/>
          <w:szCs w:val="18"/>
        </w:rPr>
        <w:tab/>
      </w:r>
      <w:r w:rsidR="00A907FE">
        <w:rPr>
          <w:color w:val="262626" w:themeColor="text1" w:themeTint="D9"/>
          <w:sz w:val="18"/>
          <w:szCs w:val="18"/>
        </w:rPr>
        <w:tab/>
      </w:r>
    </w:p>
    <w:p w:rsidR="00F56785" w:rsidRPr="00F56785" w:rsidRDefault="00F56785" w:rsidP="00A907FE">
      <w:pPr>
        <w:shd w:val="clear" w:color="auto" w:fill="D9D9D9" w:themeFill="background1" w:themeFillShade="D9"/>
        <w:tabs>
          <w:tab w:val="left" w:pos="0"/>
        </w:tabs>
        <w:spacing w:after="0" w:line="240" w:lineRule="auto"/>
        <w:ind w:left="-709" w:right="-1418"/>
        <w:jc w:val="left"/>
        <w:rPr>
          <w:color w:val="262626" w:themeColor="text1" w:themeTint="D9"/>
          <w:sz w:val="18"/>
          <w:szCs w:val="18"/>
        </w:rPr>
      </w:pPr>
      <w:r>
        <w:rPr>
          <w:color w:val="262626" w:themeColor="text1" w:themeTint="D9"/>
          <w:sz w:val="18"/>
          <w:szCs w:val="18"/>
        </w:rPr>
        <w:tab/>
      </w:r>
      <w:r w:rsidRPr="00F56785">
        <w:rPr>
          <w:color w:val="262626" w:themeColor="text1" w:themeTint="D9"/>
          <w:sz w:val="18"/>
          <w:szCs w:val="18"/>
        </w:rPr>
        <w:t>94 100 Saint-Maur des Fossés</w:t>
      </w:r>
    </w:p>
    <w:p w:rsidR="00F56785" w:rsidRPr="00F56785" w:rsidRDefault="00F56785" w:rsidP="00A907FE">
      <w:pPr>
        <w:shd w:val="clear" w:color="auto" w:fill="D9D9D9" w:themeFill="background1" w:themeFillShade="D9"/>
        <w:tabs>
          <w:tab w:val="left" w:pos="0"/>
        </w:tabs>
        <w:spacing w:after="0" w:line="240" w:lineRule="auto"/>
        <w:ind w:left="-709" w:right="-1418"/>
        <w:jc w:val="left"/>
        <w:rPr>
          <w:color w:val="262626" w:themeColor="text1" w:themeTint="D9"/>
          <w:sz w:val="18"/>
          <w:szCs w:val="18"/>
        </w:rPr>
      </w:pPr>
      <w:r>
        <w:rPr>
          <w:color w:val="262626" w:themeColor="text1" w:themeTint="D9"/>
          <w:sz w:val="18"/>
          <w:szCs w:val="18"/>
        </w:rPr>
        <w:tab/>
      </w:r>
      <w:r w:rsidRPr="00F56785">
        <w:rPr>
          <w:color w:val="262626" w:themeColor="text1" w:themeTint="D9"/>
          <w:sz w:val="18"/>
          <w:szCs w:val="18"/>
        </w:rPr>
        <w:t>Tél. : + 33 1 48 85 23 60</w:t>
      </w:r>
    </w:p>
    <w:p w:rsidR="00A907FE" w:rsidRDefault="00F56785" w:rsidP="0092159E">
      <w:pPr>
        <w:shd w:val="clear" w:color="auto" w:fill="D9D9D9" w:themeFill="background1" w:themeFillShade="D9"/>
        <w:tabs>
          <w:tab w:val="left" w:pos="0"/>
        </w:tabs>
        <w:spacing w:after="120" w:line="240" w:lineRule="auto"/>
        <w:ind w:left="-709" w:right="-1418"/>
        <w:jc w:val="left"/>
        <w:rPr>
          <w:color w:val="262626" w:themeColor="text1" w:themeTint="D9"/>
          <w:sz w:val="18"/>
          <w:szCs w:val="18"/>
        </w:rPr>
      </w:pPr>
      <w:r>
        <w:rPr>
          <w:color w:val="262626" w:themeColor="text1" w:themeTint="D9"/>
          <w:sz w:val="18"/>
          <w:szCs w:val="18"/>
        </w:rPr>
        <w:tab/>
      </w:r>
      <w:r w:rsidRPr="00F56785">
        <w:rPr>
          <w:color w:val="262626" w:themeColor="text1" w:themeTint="D9"/>
          <w:sz w:val="18"/>
          <w:szCs w:val="18"/>
        </w:rPr>
        <w:t>Fax : + 33 1 70 24 73 57</w:t>
      </w:r>
    </w:p>
    <w:p w:rsidR="00A907FE" w:rsidRDefault="00A907FE" w:rsidP="00A907FE">
      <w:pPr>
        <w:shd w:val="clear" w:color="auto" w:fill="D9D9D9" w:themeFill="background1" w:themeFillShade="D9"/>
        <w:tabs>
          <w:tab w:val="left" w:pos="0"/>
        </w:tabs>
        <w:spacing w:after="0" w:line="240" w:lineRule="auto"/>
        <w:ind w:left="-709" w:right="-1418"/>
        <w:jc w:val="left"/>
        <w:rPr>
          <w:color w:val="262626" w:themeColor="text1" w:themeTint="D9"/>
          <w:sz w:val="18"/>
          <w:szCs w:val="18"/>
        </w:rPr>
      </w:pPr>
      <w:r>
        <w:rPr>
          <w:color w:val="262626" w:themeColor="text1" w:themeTint="D9"/>
          <w:sz w:val="18"/>
          <w:szCs w:val="18"/>
        </w:rPr>
        <w:tab/>
      </w:r>
      <w:proofErr w:type="spellStart"/>
      <w:r>
        <w:rPr>
          <w:color w:val="262626" w:themeColor="text1" w:themeTint="D9"/>
          <w:sz w:val="18"/>
          <w:szCs w:val="18"/>
        </w:rPr>
        <w:t>Asterès</w:t>
      </w:r>
      <w:proofErr w:type="spellEnd"/>
      <w:r>
        <w:rPr>
          <w:color w:val="262626" w:themeColor="text1" w:themeTint="D9"/>
          <w:sz w:val="18"/>
          <w:szCs w:val="18"/>
        </w:rPr>
        <w:t xml:space="preserve"> </w:t>
      </w:r>
      <w:r w:rsidRPr="00327EAA">
        <w:rPr>
          <w:color w:val="262626" w:themeColor="text1" w:themeTint="D9"/>
          <w:sz w:val="18"/>
          <w:szCs w:val="18"/>
        </w:rPr>
        <w:t xml:space="preserve">est présent sur Facebook et </w:t>
      </w:r>
      <w:proofErr w:type="spellStart"/>
      <w:r w:rsidRPr="00327EAA">
        <w:rPr>
          <w:color w:val="262626" w:themeColor="text1" w:themeTint="D9"/>
          <w:sz w:val="18"/>
          <w:szCs w:val="18"/>
        </w:rPr>
        <w:t>Twitter</w:t>
      </w:r>
      <w:proofErr w:type="spellEnd"/>
    </w:p>
    <w:p w:rsidR="00C0602A" w:rsidRPr="00F56785" w:rsidRDefault="00C0602A" w:rsidP="00A907FE">
      <w:pPr>
        <w:shd w:val="clear" w:color="auto" w:fill="D9D9D9" w:themeFill="background1" w:themeFillShade="D9"/>
        <w:tabs>
          <w:tab w:val="left" w:pos="0"/>
        </w:tabs>
        <w:spacing w:after="0" w:line="240" w:lineRule="auto"/>
        <w:ind w:left="-709" w:right="-1418"/>
        <w:jc w:val="left"/>
        <w:rPr>
          <w:color w:val="262626" w:themeColor="text1" w:themeTint="D9"/>
          <w:sz w:val="18"/>
          <w:szCs w:val="18"/>
        </w:rPr>
      </w:pPr>
    </w:p>
    <w:p w:rsidR="00F56785" w:rsidRPr="00607AD1" w:rsidRDefault="00F86138" w:rsidP="00607AD1">
      <w:r>
        <w:rPr>
          <w:noProof/>
          <w:color w:val="262626" w:themeColor="text1" w:themeTint="D9"/>
          <w:sz w:val="16"/>
          <w:szCs w:val="16"/>
          <w:lang w:eastAsia="fr-FR"/>
        </w:rPr>
        <w:pict>
          <v:rect id="_x0000_s1097" style="position:absolute;left:0;text-align:left;margin-left:155.05pt;margin-top:17.35pt;width:384pt;height:28.5pt;z-index:251745280" strokecolor="white [3212]"/>
        </w:pict>
      </w:r>
    </w:p>
    <w:sectPr w:rsidR="00F56785" w:rsidRPr="00607AD1" w:rsidSect="00F56785">
      <w:type w:val="continuous"/>
      <w:pgSz w:w="11906" w:h="16838"/>
      <w:pgMar w:top="1928" w:right="1418" w:bottom="1135"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138" w:rsidRDefault="00F86138" w:rsidP="00655C9A">
      <w:pPr>
        <w:spacing w:after="0" w:line="240" w:lineRule="auto"/>
      </w:pPr>
      <w:r>
        <w:separator/>
      </w:r>
    </w:p>
  </w:endnote>
  <w:endnote w:type="continuationSeparator" w:id="0">
    <w:p w:rsidR="00F86138" w:rsidRDefault="00F86138" w:rsidP="0065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altName w:val="Wingdings"/>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D6D" w:rsidRPr="003B0A67" w:rsidRDefault="00144D6D" w:rsidP="003B0A67">
    <w:pPr>
      <w:pStyle w:val="Pieddepage"/>
      <w:tabs>
        <w:tab w:val="clear" w:pos="9072"/>
      </w:tabs>
      <w:ind w:right="-711"/>
      <w:jc w:val="right"/>
      <w:rPr>
        <w:sz w:val="18"/>
        <w:szCs w:val="18"/>
      </w:rPr>
    </w:pPr>
    <w:proofErr w:type="spellStart"/>
    <w:r w:rsidRPr="0003685B">
      <w:rPr>
        <w:color w:val="595959" w:themeColor="text1" w:themeTint="A6"/>
        <w:sz w:val="18"/>
        <w:szCs w:val="18"/>
      </w:rPr>
      <w:t>Asterès</w:t>
    </w:r>
    <w:proofErr w:type="spellEnd"/>
    <w:r w:rsidRPr="0003685B">
      <w:rPr>
        <w:color w:val="595959" w:themeColor="text1" w:themeTint="A6"/>
        <w:sz w:val="18"/>
        <w:szCs w:val="18"/>
      </w:rPr>
      <w:t xml:space="preserve"> | </w:t>
    </w:r>
    <w:proofErr w:type="gramStart"/>
    <w:r w:rsidRPr="0003685B">
      <w:rPr>
        <w:color w:val="595959" w:themeColor="text1" w:themeTint="A6"/>
        <w:sz w:val="18"/>
        <w:szCs w:val="18"/>
      </w:rPr>
      <w:t>Les complémentaires santé</w:t>
    </w:r>
    <w:proofErr w:type="gramEnd"/>
    <w:r w:rsidRPr="0003685B">
      <w:rPr>
        <w:color w:val="595959" w:themeColor="text1" w:themeTint="A6"/>
        <w:sz w:val="18"/>
        <w:szCs w:val="18"/>
      </w:rPr>
      <w:t> : vers un rôle accru dans la régulation des dépenses |</w:t>
    </w:r>
    <w:r w:rsidRPr="003B0A67">
      <w:rPr>
        <w:sz w:val="18"/>
        <w:szCs w:val="18"/>
      </w:rPr>
      <w:t xml:space="preserve"> </w:t>
    </w:r>
    <w:r w:rsidRPr="003B0A67">
      <w:rPr>
        <w:b/>
        <w:color w:val="7A003C"/>
        <w:sz w:val="18"/>
        <w:szCs w:val="18"/>
      </w:rPr>
      <w:t xml:space="preserve">Page </w:t>
    </w:r>
    <w:sdt>
      <w:sdtPr>
        <w:rPr>
          <w:b/>
          <w:color w:val="7A003C"/>
          <w:sz w:val="18"/>
          <w:szCs w:val="18"/>
        </w:rPr>
        <w:id w:val="10240641"/>
        <w:docPartObj>
          <w:docPartGallery w:val="Page Numbers (Bottom of Page)"/>
          <w:docPartUnique/>
        </w:docPartObj>
      </w:sdtPr>
      <w:sdtEndPr/>
      <w:sdtContent>
        <w:r w:rsidR="00F62960" w:rsidRPr="003B0A67">
          <w:rPr>
            <w:b/>
            <w:color w:val="7A003C"/>
            <w:sz w:val="18"/>
            <w:szCs w:val="18"/>
          </w:rPr>
          <w:fldChar w:fldCharType="begin"/>
        </w:r>
        <w:r w:rsidRPr="003B0A67">
          <w:rPr>
            <w:b/>
            <w:color w:val="7A003C"/>
            <w:sz w:val="18"/>
            <w:szCs w:val="18"/>
          </w:rPr>
          <w:instrText xml:space="preserve"> PAGE   \* MERGEFORMAT </w:instrText>
        </w:r>
        <w:r w:rsidR="00F62960" w:rsidRPr="003B0A67">
          <w:rPr>
            <w:b/>
            <w:color w:val="7A003C"/>
            <w:sz w:val="18"/>
            <w:szCs w:val="18"/>
          </w:rPr>
          <w:fldChar w:fldCharType="separate"/>
        </w:r>
        <w:r w:rsidR="002B4921">
          <w:rPr>
            <w:b/>
            <w:noProof/>
            <w:color w:val="7A003C"/>
            <w:sz w:val="18"/>
            <w:szCs w:val="18"/>
          </w:rPr>
          <w:t>18</w:t>
        </w:r>
        <w:r w:rsidR="00F62960" w:rsidRPr="003B0A67">
          <w:rPr>
            <w:b/>
            <w:color w:val="7A003C"/>
            <w:sz w:val="18"/>
            <w:szCs w:val="18"/>
          </w:rPr>
          <w:fldChar w:fldCharType="end"/>
        </w:r>
      </w:sdtContent>
    </w:sdt>
  </w:p>
  <w:p w:rsidR="00144D6D" w:rsidRDefault="00144D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138" w:rsidRDefault="00F86138" w:rsidP="00655C9A">
      <w:pPr>
        <w:spacing w:after="0" w:line="240" w:lineRule="auto"/>
      </w:pPr>
      <w:r>
        <w:separator/>
      </w:r>
    </w:p>
  </w:footnote>
  <w:footnote w:type="continuationSeparator" w:id="0">
    <w:p w:rsidR="00F86138" w:rsidRDefault="00F86138" w:rsidP="00655C9A">
      <w:pPr>
        <w:spacing w:after="0" w:line="240" w:lineRule="auto"/>
      </w:pPr>
      <w:r>
        <w:continuationSeparator/>
      </w:r>
    </w:p>
  </w:footnote>
  <w:footnote w:id="1">
    <w:p w:rsidR="00144D6D" w:rsidRPr="002F269C" w:rsidRDefault="00144D6D" w:rsidP="00621120">
      <w:pPr>
        <w:pStyle w:val="Notedebasdepage"/>
        <w:rPr>
          <w:i/>
          <w:color w:val="404040" w:themeColor="text1" w:themeTint="BF"/>
          <w:sz w:val="18"/>
          <w:szCs w:val="18"/>
        </w:rPr>
      </w:pPr>
      <w:r w:rsidRPr="002F269C">
        <w:rPr>
          <w:rStyle w:val="Appelnotedebasdep"/>
          <w:i/>
          <w:color w:val="404040" w:themeColor="text1" w:themeTint="BF"/>
          <w:sz w:val="18"/>
          <w:szCs w:val="18"/>
        </w:rPr>
        <w:footnoteRef/>
      </w:r>
      <w:r w:rsidRPr="002F269C">
        <w:rPr>
          <w:i/>
          <w:color w:val="404040" w:themeColor="text1" w:themeTint="BF"/>
          <w:sz w:val="18"/>
          <w:szCs w:val="18"/>
        </w:rPr>
        <w:t xml:space="preserve"> Source : « Les dépenses de santé en France : déterminants et imp</w:t>
      </w:r>
      <w:r>
        <w:rPr>
          <w:i/>
          <w:color w:val="404040" w:themeColor="text1" w:themeTint="BF"/>
          <w:sz w:val="18"/>
          <w:szCs w:val="18"/>
        </w:rPr>
        <w:t>act du vieillissement à l’horizo</w:t>
      </w:r>
      <w:r w:rsidRPr="002F269C">
        <w:rPr>
          <w:i/>
          <w:color w:val="404040" w:themeColor="text1" w:themeTint="BF"/>
          <w:sz w:val="18"/>
          <w:szCs w:val="18"/>
        </w:rPr>
        <w:t>n 2050 ». Direction générale du Trésor et de la politique économique. Juillet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D6D" w:rsidRDefault="00144D6D" w:rsidP="0097189A">
    <w:pPr>
      <w:pStyle w:val="En-tte"/>
      <w:jc w:val="right"/>
    </w:pPr>
    <w:r>
      <w:rPr>
        <w:noProof/>
        <w:lang w:eastAsia="fr-FR"/>
      </w:rPr>
      <w:drawing>
        <wp:anchor distT="0" distB="0" distL="114300" distR="114300" simplePos="0" relativeHeight="251658240" behindDoc="0" locked="0" layoutInCell="1" allowOverlap="1">
          <wp:simplePos x="0" y="0"/>
          <wp:positionH relativeFrom="column">
            <wp:posOffset>5998845</wp:posOffset>
          </wp:positionH>
          <wp:positionV relativeFrom="paragraph">
            <wp:posOffset>-240665</wp:posOffset>
          </wp:positionV>
          <wp:extent cx="657225" cy="523875"/>
          <wp:effectExtent l="19050" t="0" r="9525" b="0"/>
          <wp:wrapNone/>
          <wp:docPr id="24" name="Image 23" descr="motif logo as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f logo asteres.jpg"/>
                  <pic:cNvPicPr/>
                </pic:nvPicPr>
                <pic:blipFill>
                  <a:blip r:embed="rId1"/>
                  <a:stretch>
                    <a:fillRect/>
                  </a:stretch>
                </pic:blipFill>
                <pic:spPr>
                  <a:xfrm>
                    <a:off x="0" y="0"/>
                    <a:ext cx="657225" cy="5238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2668"/>
    <w:multiLevelType w:val="hybridMultilevel"/>
    <w:tmpl w:val="7D267CD2"/>
    <w:lvl w:ilvl="0" w:tplc="EB6E6C5A">
      <w:start w:val="1"/>
      <w:numFmt w:val="bullet"/>
      <w:lvlText w:val=""/>
      <w:lvlJc w:val="left"/>
      <w:pPr>
        <w:ind w:left="360" w:hanging="360"/>
      </w:pPr>
      <w:rPr>
        <w:rFonts w:ascii="Wingdings" w:hAnsi="Wingdings" w:hint="default"/>
        <w:color w:val="262626" w:themeColor="text1" w:themeTint="D9"/>
        <w:sz w:val="20"/>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
    <w:nsid w:val="08F017A9"/>
    <w:multiLevelType w:val="hybridMultilevel"/>
    <w:tmpl w:val="9B56C4D6"/>
    <w:lvl w:ilvl="0" w:tplc="C52E2126">
      <w:start w:val="1"/>
      <w:numFmt w:val="decimal"/>
      <w:lvlText w:val="%1."/>
      <w:lvlJc w:val="left"/>
      <w:pPr>
        <w:ind w:left="786" w:hanging="360"/>
      </w:pPr>
      <w:rPr>
        <w:rFonts w:hint="default"/>
        <w:color w:val="7A003C"/>
        <w:sz w:val="24"/>
        <w:szCs w:val="24"/>
      </w:rPr>
    </w:lvl>
    <w:lvl w:ilvl="1" w:tplc="B4C43828" w:tentative="1">
      <w:start w:val="1"/>
      <w:numFmt w:val="lowerLetter"/>
      <w:lvlText w:val="%2."/>
      <w:lvlJc w:val="left"/>
      <w:pPr>
        <w:ind w:left="1506" w:hanging="360"/>
      </w:pPr>
    </w:lvl>
    <w:lvl w:ilvl="2" w:tplc="BB3EC0B4" w:tentative="1">
      <w:start w:val="1"/>
      <w:numFmt w:val="lowerRoman"/>
      <w:lvlText w:val="%3."/>
      <w:lvlJc w:val="right"/>
      <w:pPr>
        <w:ind w:left="2226" w:hanging="180"/>
      </w:pPr>
    </w:lvl>
    <w:lvl w:ilvl="3" w:tplc="75CEE952" w:tentative="1">
      <w:start w:val="1"/>
      <w:numFmt w:val="decimal"/>
      <w:lvlText w:val="%4."/>
      <w:lvlJc w:val="left"/>
      <w:pPr>
        <w:ind w:left="2946" w:hanging="360"/>
      </w:pPr>
    </w:lvl>
    <w:lvl w:ilvl="4" w:tplc="924035B0" w:tentative="1">
      <w:start w:val="1"/>
      <w:numFmt w:val="lowerLetter"/>
      <w:lvlText w:val="%5."/>
      <w:lvlJc w:val="left"/>
      <w:pPr>
        <w:ind w:left="3666" w:hanging="360"/>
      </w:pPr>
    </w:lvl>
    <w:lvl w:ilvl="5" w:tplc="113C6D30" w:tentative="1">
      <w:start w:val="1"/>
      <w:numFmt w:val="lowerRoman"/>
      <w:lvlText w:val="%6."/>
      <w:lvlJc w:val="right"/>
      <w:pPr>
        <w:ind w:left="4386" w:hanging="180"/>
      </w:pPr>
    </w:lvl>
    <w:lvl w:ilvl="6" w:tplc="622455E8" w:tentative="1">
      <w:start w:val="1"/>
      <w:numFmt w:val="decimal"/>
      <w:lvlText w:val="%7."/>
      <w:lvlJc w:val="left"/>
      <w:pPr>
        <w:ind w:left="5106" w:hanging="360"/>
      </w:pPr>
    </w:lvl>
    <w:lvl w:ilvl="7" w:tplc="0CA67706" w:tentative="1">
      <w:start w:val="1"/>
      <w:numFmt w:val="lowerLetter"/>
      <w:lvlText w:val="%8."/>
      <w:lvlJc w:val="left"/>
      <w:pPr>
        <w:ind w:left="5826" w:hanging="360"/>
      </w:pPr>
    </w:lvl>
    <w:lvl w:ilvl="8" w:tplc="91641862" w:tentative="1">
      <w:start w:val="1"/>
      <w:numFmt w:val="lowerRoman"/>
      <w:lvlText w:val="%9."/>
      <w:lvlJc w:val="right"/>
      <w:pPr>
        <w:ind w:left="6546" w:hanging="180"/>
      </w:pPr>
    </w:lvl>
  </w:abstractNum>
  <w:abstractNum w:abstractNumId="2">
    <w:nsid w:val="304C1C97"/>
    <w:multiLevelType w:val="hybridMultilevel"/>
    <w:tmpl w:val="7A6CFEF6"/>
    <w:lvl w:ilvl="0" w:tplc="D95E7C34">
      <w:start w:val="1"/>
      <w:numFmt w:val="decimal"/>
      <w:lvlText w:val="%1."/>
      <w:lvlJc w:val="left"/>
      <w:pPr>
        <w:ind w:left="1778" w:hanging="360"/>
      </w:pPr>
      <w:rPr>
        <w:rFonts w:hint="default"/>
        <w:b/>
        <w:color w:val="7A003C"/>
        <w:sz w:val="28"/>
        <w:szCs w:val="28"/>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
    <w:nsid w:val="365D4AA1"/>
    <w:multiLevelType w:val="hybridMultilevel"/>
    <w:tmpl w:val="8BA0F948"/>
    <w:lvl w:ilvl="0" w:tplc="57BC577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BA44E1"/>
    <w:multiLevelType w:val="hybridMultilevel"/>
    <w:tmpl w:val="39D4F3A2"/>
    <w:lvl w:ilvl="0" w:tplc="41D4D9AE">
      <w:start w:val="1"/>
      <w:numFmt w:val="bullet"/>
      <w:lvlText w:val=""/>
      <w:lvlJc w:val="left"/>
      <w:pPr>
        <w:ind w:left="1854" w:hanging="360"/>
      </w:pPr>
      <w:rPr>
        <w:rFonts w:ascii="Wingdings" w:hAnsi="Wingdings" w:hint="default"/>
        <w:color w:val="262626" w:themeColor="text1" w:themeTint="D9"/>
        <w:sz w:val="20"/>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
    <w:nsid w:val="386F3451"/>
    <w:multiLevelType w:val="hybridMultilevel"/>
    <w:tmpl w:val="33989BC6"/>
    <w:lvl w:ilvl="0" w:tplc="6590AAD6">
      <w:start w:val="1"/>
      <w:numFmt w:val="bullet"/>
      <w:lvlText w:val=""/>
      <w:lvlJc w:val="left"/>
      <w:pPr>
        <w:ind w:left="1854" w:hanging="360"/>
      </w:pPr>
      <w:rPr>
        <w:rFonts w:ascii="Wingdings" w:hAnsi="Wingdings" w:hint="default"/>
        <w:b/>
        <w:color w:val="262626" w:themeColor="text1" w:themeTint="D9"/>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6">
    <w:nsid w:val="3D940568"/>
    <w:multiLevelType w:val="hybridMultilevel"/>
    <w:tmpl w:val="290646C6"/>
    <w:lvl w:ilvl="0" w:tplc="299A4806">
      <w:start w:val="1"/>
      <w:numFmt w:val="bullet"/>
      <w:lvlText w:val=""/>
      <w:lvlJc w:val="left"/>
      <w:pPr>
        <w:ind w:left="1854" w:hanging="360"/>
      </w:pPr>
      <w:rPr>
        <w:rFonts w:ascii="Wingdings" w:hAnsi="Wingdings" w:hint="default"/>
        <w:color w:val="auto"/>
      </w:rPr>
    </w:lvl>
    <w:lvl w:ilvl="1" w:tplc="040C0019" w:tentative="1">
      <w:start w:val="1"/>
      <w:numFmt w:val="bullet"/>
      <w:lvlText w:val="o"/>
      <w:lvlJc w:val="left"/>
      <w:pPr>
        <w:ind w:left="2574" w:hanging="360"/>
      </w:pPr>
      <w:rPr>
        <w:rFonts w:ascii="Courier New" w:hAnsi="Courier New" w:cs="Courier New" w:hint="default"/>
      </w:rPr>
    </w:lvl>
    <w:lvl w:ilvl="2" w:tplc="040C001B" w:tentative="1">
      <w:start w:val="1"/>
      <w:numFmt w:val="bullet"/>
      <w:lvlText w:val=""/>
      <w:lvlJc w:val="left"/>
      <w:pPr>
        <w:ind w:left="3294" w:hanging="360"/>
      </w:pPr>
      <w:rPr>
        <w:rFonts w:ascii="Wingdings" w:hAnsi="Wingdings" w:hint="default"/>
      </w:rPr>
    </w:lvl>
    <w:lvl w:ilvl="3" w:tplc="040C000F" w:tentative="1">
      <w:start w:val="1"/>
      <w:numFmt w:val="bullet"/>
      <w:lvlText w:val=""/>
      <w:lvlJc w:val="left"/>
      <w:pPr>
        <w:ind w:left="4014" w:hanging="360"/>
      </w:pPr>
      <w:rPr>
        <w:rFonts w:ascii="Symbol" w:hAnsi="Symbol" w:hint="default"/>
      </w:rPr>
    </w:lvl>
    <w:lvl w:ilvl="4" w:tplc="040C0019" w:tentative="1">
      <w:start w:val="1"/>
      <w:numFmt w:val="bullet"/>
      <w:lvlText w:val="o"/>
      <w:lvlJc w:val="left"/>
      <w:pPr>
        <w:ind w:left="4734" w:hanging="360"/>
      </w:pPr>
      <w:rPr>
        <w:rFonts w:ascii="Courier New" w:hAnsi="Courier New" w:cs="Courier New" w:hint="default"/>
      </w:rPr>
    </w:lvl>
    <w:lvl w:ilvl="5" w:tplc="040C001B" w:tentative="1">
      <w:start w:val="1"/>
      <w:numFmt w:val="bullet"/>
      <w:lvlText w:val=""/>
      <w:lvlJc w:val="left"/>
      <w:pPr>
        <w:ind w:left="5454" w:hanging="360"/>
      </w:pPr>
      <w:rPr>
        <w:rFonts w:ascii="Wingdings" w:hAnsi="Wingdings" w:hint="default"/>
      </w:rPr>
    </w:lvl>
    <w:lvl w:ilvl="6" w:tplc="040C000F" w:tentative="1">
      <w:start w:val="1"/>
      <w:numFmt w:val="bullet"/>
      <w:lvlText w:val=""/>
      <w:lvlJc w:val="left"/>
      <w:pPr>
        <w:ind w:left="6174" w:hanging="360"/>
      </w:pPr>
      <w:rPr>
        <w:rFonts w:ascii="Symbol" w:hAnsi="Symbol" w:hint="default"/>
      </w:rPr>
    </w:lvl>
    <w:lvl w:ilvl="7" w:tplc="040C0019" w:tentative="1">
      <w:start w:val="1"/>
      <w:numFmt w:val="bullet"/>
      <w:lvlText w:val="o"/>
      <w:lvlJc w:val="left"/>
      <w:pPr>
        <w:ind w:left="6894" w:hanging="360"/>
      </w:pPr>
      <w:rPr>
        <w:rFonts w:ascii="Courier New" w:hAnsi="Courier New" w:cs="Courier New" w:hint="default"/>
      </w:rPr>
    </w:lvl>
    <w:lvl w:ilvl="8" w:tplc="040C001B" w:tentative="1">
      <w:start w:val="1"/>
      <w:numFmt w:val="bullet"/>
      <w:lvlText w:val=""/>
      <w:lvlJc w:val="left"/>
      <w:pPr>
        <w:ind w:left="7614" w:hanging="360"/>
      </w:pPr>
      <w:rPr>
        <w:rFonts w:ascii="Wingdings" w:hAnsi="Wingdings" w:hint="default"/>
      </w:rPr>
    </w:lvl>
  </w:abstractNum>
  <w:abstractNum w:abstractNumId="7">
    <w:nsid w:val="3F072278"/>
    <w:multiLevelType w:val="hybridMultilevel"/>
    <w:tmpl w:val="3A869BA8"/>
    <w:lvl w:ilvl="0" w:tplc="25F6C384">
      <w:start w:val="1"/>
      <w:numFmt w:val="decimal"/>
      <w:lvlText w:val="%1."/>
      <w:lvlJc w:val="left"/>
      <w:pPr>
        <w:ind w:left="1070" w:hanging="360"/>
      </w:pPr>
      <w:rPr>
        <w:b/>
        <w:color w:val="auto"/>
      </w:rPr>
    </w:lvl>
    <w:lvl w:ilvl="1" w:tplc="040C0019" w:tentative="1">
      <w:start w:val="1"/>
      <w:numFmt w:val="lowerLetter"/>
      <w:lvlText w:val="%2."/>
      <w:lvlJc w:val="left"/>
      <w:pPr>
        <w:ind w:left="1616" w:hanging="360"/>
      </w:pPr>
    </w:lvl>
    <w:lvl w:ilvl="2" w:tplc="040C001B" w:tentative="1">
      <w:start w:val="1"/>
      <w:numFmt w:val="lowerRoman"/>
      <w:lvlText w:val="%3."/>
      <w:lvlJc w:val="right"/>
      <w:pPr>
        <w:ind w:left="2336" w:hanging="180"/>
      </w:pPr>
    </w:lvl>
    <w:lvl w:ilvl="3" w:tplc="040C000F" w:tentative="1">
      <w:start w:val="1"/>
      <w:numFmt w:val="decimal"/>
      <w:lvlText w:val="%4."/>
      <w:lvlJc w:val="left"/>
      <w:pPr>
        <w:ind w:left="3056" w:hanging="360"/>
      </w:pPr>
    </w:lvl>
    <w:lvl w:ilvl="4" w:tplc="040C0019" w:tentative="1">
      <w:start w:val="1"/>
      <w:numFmt w:val="lowerLetter"/>
      <w:lvlText w:val="%5."/>
      <w:lvlJc w:val="left"/>
      <w:pPr>
        <w:ind w:left="3776" w:hanging="360"/>
      </w:pPr>
    </w:lvl>
    <w:lvl w:ilvl="5" w:tplc="040C001B" w:tentative="1">
      <w:start w:val="1"/>
      <w:numFmt w:val="lowerRoman"/>
      <w:lvlText w:val="%6."/>
      <w:lvlJc w:val="right"/>
      <w:pPr>
        <w:ind w:left="4496" w:hanging="180"/>
      </w:pPr>
    </w:lvl>
    <w:lvl w:ilvl="6" w:tplc="040C000F" w:tentative="1">
      <w:start w:val="1"/>
      <w:numFmt w:val="decimal"/>
      <w:lvlText w:val="%7."/>
      <w:lvlJc w:val="left"/>
      <w:pPr>
        <w:ind w:left="5216" w:hanging="360"/>
      </w:pPr>
    </w:lvl>
    <w:lvl w:ilvl="7" w:tplc="040C0019" w:tentative="1">
      <w:start w:val="1"/>
      <w:numFmt w:val="lowerLetter"/>
      <w:lvlText w:val="%8."/>
      <w:lvlJc w:val="left"/>
      <w:pPr>
        <w:ind w:left="5936" w:hanging="360"/>
      </w:pPr>
    </w:lvl>
    <w:lvl w:ilvl="8" w:tplc="040C001B" w:tentative="1">
      <w:start w:val="1"/>
      <w:numFmt w:val="lowerRoman"/>
      <w:lvlText w:val="%9."/>
      <w:lvlJc w:val="right"/>
      <w:pPr>
        <w:ind w:left="6656" w:hanging="180"/>
      </w:pPr>
    </w:lvl>
  </w:abstractNum>
  <w:abstractNum w:abstractNumId="8">
    <w:nsid w:val="46224D60"/>
    <w:multiLevelType w:val="hybridMultilevel"/>
    <w:tmpl w:val="EA1491B8"/>
    <w:lvl w:ilvl="0" w:tplc="B74C91F0">
      <w:start w:val="1"/>
      <w:numFmt w:val="bullet"/>
      <w:lvlText w:val=""/>
      <w:lvlJc w:val="left"/>
      <w:pPr>
        <w:ind w:left="1854" w:hanging="360"/>
      </w:pPr>
      <w:rPr>
        <w:rFonts w:ascii="Wingdings" w:hAnsi="Wingdings" w:hint="default"/>
        <w:color w:val="262626" w:themeColor="text1" w:themeTint="D9"/>
        <w:sz w:val="16"/>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9">
    <w:nsid w:val="479C60F6"/>
    <w:multiLevelType w:val="hybridMultilevel"/>
    <w:tmpl w:val="EE62C2B4"/>
    <w:lvl w:ilvl="0" w:tplc="299A480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80416A2"/>
    <w:multiLevelType w:val="hybridMultilevel"/>
    <w:tmpl w:val="EF56399E"/>
    <w:lvl w:ilvl="0" w:tplc="CB4CC1D2">
      <w:start w:val="1"/>
      <w:numFmt w:val="decimal"/>
      <w:lvlText w:val="%1."/>
      <w:lvlJc w:val="left"/>
      <w:pPr>
        <w:ind w:left="1854" w:hanging="360"/>
      </w:pPr>
      <w:rPr>
        <w:rFonts w:hint="default"/>
        <w:b/>
        <w:color w:val="7A003C"/>
        <w:sz w:val="36"/>
        <w:szCs w:val="36"/>
      </w:rPr>
    </w:lvl>
    <w:lvl w:ilvl="1" w:tplc="B192CA3E" w:tentative="1">
      <w:start w:val="1"/>
      <w:numFmt w:val="bullet"/>
      <w:lvlText w:val="o"/>
      <w:lvlJc w:val="left"/>
      <w:pPr>
        <w:ind w:left="2574" w:hanging="360"/>
      </w:pPr>
      <w:rPr>
        <w:rFonts w:ascii="Courier New" w:hAnsi="Courier New" w:cs="Courier New" w:hint="default"/>
      </w:rPr>
    </w:lvl>
    <w:lvl w:ilvl="2" w:tplc="3DA8AB5E" w:tentative="1">
      <w:start w:val="1"/>
      <w:numFmt w:val="bullet"/>
      <w:lvlText w:val=""/>
      <w:lvlJc w:val="left"/>
      <w:pPr>
        <w:ind w:left="3294" w:hanging="360"/>
      </w:pPr>
      <w:rPr>
        <w:rFonts w:ascii="Wingdings" w:hAnsi="Wingdings" w:hint="default"/>
      </w:rPr>
    </w:lvl>
    <w:lvl w:ilvl="3" w:tplc="E6F83530" w:tentative="1">
      <w:start w:val="1"/>
      <w:numFmt w:val="bullet"/>
      <w:lvlText w:val=""/>
      <w:lvlJc w:val="left"/>
      <w:pPr>
        <w:ind w:left="4014" w:hanging="360"/>
      </w:pPr>
      <w:rPr>
        <w:rFonts w:ascii="Symbol" w:hAnsi="Symbol" w:hint="default"/>
      </w:rPr>
    </w:lvl>
    <w:lvl w:ilvl="4" w:tplc="EDE29194" w:tentative="1">
      <w:start w:val="1"/>
      <w:numFmt w:val="bullet"/>
      <w:lvlText w:val="o"/>
      <w:lvlJc w:val="left"/>
      <w:pPr>
        <w:ind w:left="4734" w:hanging="360"/>
      </w:pPr>
      <w:rPr>
        <w:rFonts w:ascii="Courier New" w:hAnsi="Courier New" w:cs="Courier New" w:hint="default"/>
      </w:rPr>
    </w:lvl>
    <w:lvl w:ilvl="5" w:tplc="577A448C" w:tentative="1">
      <w:start w:val="1"/>
      <w:numFmt w:val="bullet"/>
      <w:lvlText w:val=""/>
      <w:lvlJc w:val="left"/>
      <w:pPr>
        <w:ind w:left="5454" w:hanging="360"/>
      </w:pPr>
      <w:rPr>
        <w:rFonts w:ascii="Wingdings" w:hAnsi="Wingdings" w:hint="default"/>
      </w:rPr>
    </w:lvl>
    <w:lvl w:ilvl="6" w:tplc="391EAB3E" w:tentative="1">
      <w:start w:val="1"/>
      <w:numFmt w:val="bullet"/>
      <w:lvlText w:val=""/>
      <w:lvlJc w:val="left"/>
      <w:pPr>
        <w:ind w:left="6174" w:hanging="360"/>
      </w:pPr>
      <w:rPr>
        <w:rFonts w:ascii="Symbol" w:hAnsi="Symbol" w:hint="default"/>
      </w:rPr>
    </w:lvl>
    <w:lvl w:ilvl="7" w:tplc="10ACFF0C" w:tentative="1">
      <w:start w:val="1"/>
      <w:numFmt w:val="bullet"/>
      <w:lvlText w:val="o"/>
      <w:lvlJc w:val="left"/>
      <w:pPr>
        <w:ind w:left="6894" w:hanging="360"/>
      </w:pPr>
      <w:rPr>
        <w:rFonts w:ascii="Courier New" w:hAnsi="Courier New" w:cs="Courier New" w:hint="default"/>
      </w:rPr>
    </w:lvl>
    <w:lvl w:ilvl="8" w:tplc="31804F0C" w:tentative="1">
      <w:start w:val="1"/>
      <w:numFmt w:val="bullet"/>
      <w:lvlText w:val=""/>
      <w:lvlJc w:val="left"/>
      <w:pPr>
        <w:ind w:left="7614" w:hanging="360"/>
      </w:pPr>
      <w:rPr>
        <w:rFonts w:ascii="Wingdings" w:hAnsi="Wingdings" w:hint="default"/>
      </w:rPr>
    </w:lvl>
  </w:abstractNum>
  <w:abstractNum w:abstractNumId="11">
    <w:nsid w:val="4A5F66C3"/>
    <w:multiLevelType w:val="hybridMultilevel"/>
    <w:tmpl w:val="04AEDCD8"/>
    <w:lvl w:ilvl="0" w:tplc="299A4806">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ACE10B6"/>
    <w:multiLevelType w:val="hybridMultilevel"/>
    <w:tmpl w:val="A1C6A612"/>
    <w:lvl w:ilvl="0" w:tplc="299A4806">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E0E3F05"/>
    <w:multiLevelType w:val="hybridMultilevel"/>
    <w:tmpl w:val="94B431BE"/>
    <w:lvl w:ilvl="0" w:tplc="ABFA09BC">
      <w:start w:val="1"/>
      <w:numFmt w:val="decimal"/>
      <w:lvlText w:val="%1."/>
      <w:lvlJc w:val="left"/>
      <w:pPr>
        <w:ind w:left="720" w:hanging="360"/>
      </w:pPr>
      <w:rPr>
        <w:rFonts w:hint="default"/>
        <w:b/>
        <w:color w:val="7A003C"/>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4A90E43"/>
    <w:multiLevelType w:val="hybridMultilevel"/>
    <w:tmpl w:val="A21A2BD8"/>
    <w:lvl w:ilvl="0" w:tplc="5278486E">
      <w:start w:val="1"/>
      <w:numFmt w:val="decimal"/>
      <w:lvlText w:val="%1."/>
      <w:lvlJc w:val="left"/>
      <w:pPr>
        <w:ind w:left="1004" w:hanging="360"/>
      </w:pPr>
      <w:rPr>
        <w:rFonts w:hint="default"/>
        <w:b/>
        <w:color w:val="7A003C"/>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E0B0364"/>
    <w:multiLevelType w:val="hybridMultilevel"/>
    <w:tmpl w:val="4E92A880"/>
    <w:lvl w:ilvl="0" w:tplc="CB4CC1D2">
      <w:start w:val="1"/>
      <w:numFmt w:val="decimal"/>
      <w:lvlText w:val="%1."/>
      <w:lvlJc w:val="left"/>
      <w:pPr>
        <w:ind w:left="1854" w:hanging="360"/>
      </w:pPr>
      <w:rPr>
        <w:b/>
        <w:color w:val="7A003C"/>
        <w:sz w:val="36"/>
        <w:szCs w:val="36"/>
      </w:rPr>
    </w:lvl>
    <w:lvl w:ilvl="1" w:tplc="C7A8FCE2" w:tentative="1">
      <w:start w:val="1"/>
      <w:numFmt w:val="lowerLetter"/>
      <w:lvlText w:val="%2."/>
      <w:lvlJc w:val="left"/>
      <w:pPr>
        <w:ind w:left="2574" w:hanging="360"/>
      </w:pPr>
    </w:lvl>
    <w:lvl w:ilvl="2" w:tplc="04F8EC38" w:tentative="1">
      <w:start w:val="1"/>
      <w:numFmt w:val="lowerRoman"/>
      <w:lvlText w:val="%3."/>
      <w:lvlJc w:val="right"/>
      <w:pPr>
        <w:ind w:left="3294" w:hanging="180"/>
      </w:pPr>
    </w:lvl>
    <w:lvl w:ilvl="3" w:tplc="E152B40A" w:tentative="1">
      <w:start w:val="1"/>
      <w:numFmt w:val="decimal"/>
      <w:lvlText w:val="%4."/>
      <w:lvlJc w:val="left"/>
      <w:pPr>
        <w:ind w:left="4014" w:hanging="360"/>
      </w:pPr>
    </w:lvl>
    <w:lvl w:ilvl="4" w:tplc="5B52C722" w:tentative="1">
      <w:start w:val="1"/>
      <w:numFmt w:val="lowerLetter"/>
      <w:lvlText w:val="%5."/>
      <w:lvlJc w:val="left"/>
      <w:pPr>
        <w:ind w:left="4734" w:hanging="360"/>
      </w:pPr>
    </w:lvl>
    <w:lvl w:ilvl="5" w:tplc="DBF4CCC4" w:tentative="1">
      <w:start w:val="1"/>
      <w:numFmt w:val="lowerRoman"/>
      <w:lvlText w:val="%6."/>
      <w:lvlJc w:val="right"/>
      <w:pPr>
        <w:ind w:left="5454" w:hanging="180"/>
      </w:pPr>
    </w:lvl>
    <w:lvl w:ilvl="6" w:tplc="1236FF96" w:tentative="1">
      <w:start w:val="1"/>
      <w:numFmt w:val="decimal"/>
      <w:lvlText w:val="%7."/>
      <w:lvlJc w:val="left"/>
      <w:pPr>
        <w:ind w:left="6174" w:hanging="360"/>
      </w:pPr>
    </w:lvl>
    <w:lvl w:ilvl="7" w:tplc="EAB84478" w:tentative="1">
      <w:start w:val="1"/>
      <w:numFmt w:val="lowerLetter"/>
      <w:lvlText w:val="%8."/>
      <w:lvlJc w:val="left"/>
      <w:pPr>
        <w:ind w:left="6894" w:hanging="360"/>
      </w:pPr>
    </w:lvl>
    <w:lvl w:ilvl="8" w:tplc="0A36243C" w:tentative="1">
      <w:start w:val="1"/>
      <w:numFmt w:val="lowerRoman"/>
      <w:lvlText w:val="%9."/>
      <w:lvlJc w:val="right"/>
      <w:pPr>
        <w:ind w:left="7614" w:hanging="180"/>
      </w:pPr>
    </w:lvl>
  </w:abstractNum>
  <w:abstractNum w:abstractNumId="16">
    <w:nsid w:val="5E68196E"/>
    <w:multiLevelType w:val="hybridMultilevel"/>
    <w:tmpl w:val="3B7C7D76"/>
    <w:lvl w:ilvl="0" w:tplc="BF6AD2B0">
      <w:start w:val="1"/>
      <w:numFmt w:val="bullet"/>
      <w:lvlText w:val=""/>
      <w:lvlJc w:val="left"/>
      <w:pPr>
        <w:ind w:left="1854" w:hanging="360"/>
      </w:pPr>
      <w:rPr>
        <w:rFonts w:ascii="Wingdings" w:hAnsi="Wingdings" w:hint="default"/>
        <w:color w:val="262626" w:themeColor="text1" w:themeTint="D9"/>
        <w:sz w:val="16"/>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7">
    <w:nsid w:val="61CE7237"/>
    <w:multiLevelType w:val="hybridMultilevel"/>
    <w:tmpl w:val="8064FCB6"/>
    <w:lvl w:ilvl="0" w:tplc="9C0889F0">
      <w:start w:val="1"/>
      <w:numFmt w:val="decimal"/>
      <w:lvlText w:val="%1."/>
      <w:lvlJc w:val="left"/>
      <w:pPr>
        <w:ind w:left="644" w:hanging="360"/>
      </w:pPr>
      <w:rPr>
        <w:rFonts w:hint="default"/>
        <w:b/>
        <w:i w:val="0"/>
        <w:caps w:val="0"/>
        <w:strike w:val="0"/>
        <w:dstrike w:val="0"/>
        <w:outline w:val="0"/>
        <w:shadow w:val="0"/>
        <w:emboss w:val="0"/>
        <w:imprint w:val="0"/>
        <w:vanish w:val="0"/>
        <w:color w:val="7A003C"/>
        <w:sz w:val="28"/>
        <w:szCs w:val="28"/>
        <w:vertAlign w:val="baseli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18">
    <w:nsid w:val="672C5EC6"/>
    <w:multiLevelType w:val="hybridMultilevel"/>
    <w:tmpl w:val="24B80420"/>
    <w:lvl w:ilvl="0" w:tplc="299A480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8E200C2"/>
    <w:multiLevelType w:val="hybridMultilevel"/>
    <w:tmpl w:val="A37AF6C6"/>
    <w:lvl w:ilvl="0" w:tplc="299A4806">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0">
    <w:nsid w:val="691D4317"/>
    <w:multiLevelType w:val="hybridMultilevel"/>
    <w:tmpl w:val="5F2EE4F6"/>
    <w:lvl w:ilvl="0" w:tplc="75CCB45C">
      <w:start w:val="1"/>
      <w:numFmt w:val="bullet"/>
      <w:lvlText w:val=""/>
      <w:lvlJc w:val="left"/>
      <w:pPr>
        <w:ind w:left="1854" w:hanging="360"/>
      </w:pPr>
      <w:rPr>
        <w:rFonts w:ascii="Wingdings" w:hAnsi="Wingdings" w:hint="default"/>
        <w:color w:val="262626" w:themeColor="text1" w:themeTint="D9"/>
        <w:sz w:val="20"/>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1">
    <w:nsid w:val="6E8D6A1B"/>
    <w:multiLevelType w:val="hybridMultilevel"/>
    <w:tmpl w:val="AA644840"/>
    <w:lvl w:ilvl="0" w:tplc="299A4806">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700E2BDB"/>
    <w:multiLevelType w:val="hybridMultilevel"/>
    <w:tmpl w:val="C4FA5D9A"/>
    <w:lvl w:ilvl="0" w:tplc="4282C450">
      <w:start w:val="1"/>
      <w:numFmt w:val="bullet"/>
      <w:lvlText w:val=""/>
      <w:lvlJc w:val="left"/>
      <w:pPr>
        <w:ind w:left="1146" w:hanging="360"/>
      </w:pPr>
      <w:rPr>
        <w:rFonts w:ascii="Wingdings 3" w:hAnsi="Wingdings 3" w:hint="default"/>
        <w:color w:val="7A003C"/>
        <w:sz w:val="16"/>
        <w:szCs w:val="20"/>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3">
    <w:nsid w:val="7DBD7FB6"/>
    <w:multiLevelType w:val="hybridMultilevel"/>
    <w:tmpl w:val="EF56399E"/>
    <w:lvl w:ilvl="0" w:tplc="CB4CC1D2">
      <w:start w:val="1"/>
      <w:numFmt w:val="decimal"/>
      <w:lvlText w:val="%1."/>
      <w:lvlJc w:val="left"/>
      <w:pPr>
        <w:ind w:left="1854" w:hanging="360"/>
      </w:pPr>
      <w:rPr>
        <w:rFonts w:hint="default"/>
        <w:b/>
        <w:color w:val="7A003C"/>
        <w:sz w:val="36"/>
        <w:szCs w:val="36"/>
      </w:rPr>
    </w:lvl>
    <w:lvl w:ilvl="1" w:tplc="B192CA3E" w:tentative="1">
      <w:start w:val="1"/>
      <w:numFmt w:val="bullet"/>
      <w:lvlText w:val="o"/>
      <w:lvlJc w:val="left"/>
      <w:pPr>
        <w:ind w:left="2574" w:hanging="360"/>
      </w:pPr>
      <w:rPr>
        <w:rFonts w:ascii="Courier New" w:hAnsi="Courier New" w:cs="Courier New" w:hint="default"/>
      </w:rPr>
    </w:lvl>
    <w:lvl w:ilvl="2" w:tplc="3DA8AB5E" w:tentative="1">
      <w:start w:val="1"/>
      <w:numFmt w:val="bullet"/>
      <w:lvlText w:val=""/>
      <w:lvlJc w:val="left"/>
      <w:pPr>
        <w:ind w:left="3294" w:hanging="360"/>
      </w:pPr>
      <w:rPr>
        <w:rFonts w:ascii="Wingdings" w:hAnsi="Wingdings" w:hint="default"/>
      </w:rPr>
    </w:lvl>
    <w:lvl w:ilvl="3" w:tplc="E6F83530" w:tentative="1">
      <w:start w:val="1"/>
      <w:numFmt w:val="bullet"/>
      <w:lvlText w:val=""/>
      <w:lvlJc w:val="left"/>
      <w:pPr>
        <w:ind w:left="4014" w:hanging="360"/>
      </w:pPr>
      <w:rPr>
        <w:rFonts w:ascii="Symbol" w:hAnsi="Symbol" w:hint="default"/>
      </w:rPr>
    </w:lvl>
    <w:lvl w:ilvl="4" w:tplc="EDE29194" w:tentative="1">
      <w:start w:val="1"/>
      <w:numFmt w:val="bullet"/>
      <w:lvlText w:val="o"/>
      <w:lvlJc w:val="left"/>
      <w:pPr>
        <w:ind w:left="4734" w:hanging="360"/>
      </w:pPr>
      <w:rPr>
        <w:rFonts w:ascii="Courier New" w:hAnsi="Courier New" w:cs="Courier New" w:hint="default"/>
      </w:rPr>
    </w:lvl>
    <w:lvl w:ilvl="5" w:tplc="577A448C" w:tentative="1">
      <w:start w:val="1"/>
      <w:numFmt w:val="bullet"/>
      <w:lvlText w:val=""/>
      <w:lvlJc w:val="left"/>
      <w:pPr>
        <w:ind w:left="5454" w:hanging="360"/>
      </w:pPr>
      <w:rPr>
        <w:rFonts w:ascii="Wingdings" w:hAnsi="Wingdings" w:hint="default"/>
      </w:rPr>
    </w:lvl>
    <w:lvl w:ilvl="6" w:tplc="391EAB3E" w:tentative="1">
      <w:start w:val="1"/>
      <w:numFmt w:val="bullet"/>
      <w:lvlText w:val=""/>
      <w:lvlJc w:val="left"/>
      <w:pPr>
        <w:ind w:left="6174" w:hanging="360"/>
      </w:pPr>
      <w:rPr>
        <w:rFonts w:ascii="Symbol" w:hAnsi="Symbol" w:hint="default"/>
      </w:rPr>
    </w:lvl>
    <w:lvl w:ilvl="7" w:tplc="10ACFF0C" w:tentative="1">
      <w:start w:val="1"/>
      <w:numFmt w:val="bullet"/>
      <w:lvlText w:val="o"/>
      <w:lvlJc w:val="left"/>
      <w:pPr>
        <w:ind w:left="6894" w:hanging="360"/>
      </w:pPr>
      <w:rPr>
        <w:rFonts w:ascii="Courier New" w:hAnsi="Courier New" w:cs="Courier New" w:hint="default"/>
      </w:rPr>
    </w:lvl>
    <w:lvl w:ilvl="8" w:tplc="31804F0C" w:tentative="1">
      <w:start w:val="1"/>
      <w:numFmt w:val="bullet"/>
      <w:lvlText w:val=""/>
      <w:lvlJc w:val="left"/>
      <w:pPr>
        <w:ind w:left="7614" w:hanging="360"/>
      </w:pPr>
      <w:rPr>
        <w:rFonts w:ascii="Wingdings" w:hAnsi="Wingdings" w:hint="default"/>
      </w:rPr>
    </w:lvl>
  </w:abstractNum>
  <w:num w:numId="1">
    <w:abstractNumId w:val="15"/>
  </w:num>
  <w:num w:numId="2">
    <w:abstractNumId w:val="1"/>
  </w:num>
  <w:num w:numId="3">
    <w:abstractNumId w:val="7"/>
  </w:num>
  <w:num w:numId="4">
    <w:abstractNumId w:val="13"/>
  </w:num>
  <w:num w:numId="5">
    <w:abstractNumId w:val="17"/>
  </w:num>
  <w:num w:numId="6">
    <w:abstractNumId w:val="22"/>
  </w:num>
  <w:num w:numId="7">
    <w:abstractNumId w:val="16"/>
  </w:num>
  <w:num w:numId="8">
    <w:abstractNumId w:val="8"/>
  </w:num>
  <w:num w:numId="9">
    <w:abstractNumId w:val="14"/>
  </w:num>
  <w:num w:numId="10">
    <w:abstractNumId w:val="10"/>
  </w:num>
  <w:num w:numId="11">
    <w:abstractNumId w:val="2"/>
  </w:num>
  <w:num w:numId="12">
    <w:abstractNumId w:val="6"/>
  </w:num>
  <w:num w:numId="13">
    <w:abstractNumId w:val="5"/>
  </w:num>
  <w:num w:numId="14">
    <w:abstractNumId w:val="20"/>
  </w:num>
  <w:num w:numId="15">
    <w:abstractNumId w:val="0"/>
  </w:num>
  <w:num w:numId="16">
    <w:abstractNumId w:val="4"/>
  </w:num>
  <w:num w:numId="17">
    <w:abstractNumId w:val="11"/>
  </w:num>
  <w:num w:numId="18">
    <w:abstractNumId w:val="12"/>
  </w:num>
  <w:num w:numId="19">
    <w:abstractNumId w:val="21"/>
  </w:num>
  <w:num w:numId="20">
    <w:abstractNumId w:val="19"/>
  </w:num>
  <w:num w:numId="21">
    <w:abstractNumId w:val="3"/>
  </w:num>
  <w:num w:numId="22">
    <w:abstractNumId w:val="18"/>
  </w:num>
  <w:num w:numId="23">
    <w:abstractNumId w:val="9"/>
  </w:num>
  <w:num w:numId="24">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05"/>
  <w:displayHorizontalDrawingGridEvery w:val="2"/>
  <w:displayVerticalDrawingGridEvery w:val="2"/>
  <w:characterSpacingControl w:val="doNotCompress"/>
  <w:hdrShapeDefaults>
    <o:shapedefaults v:ext="edit" spidmax="2049">
      <o:colormru v:ext="edit" colors="#7a003c"/>
    </o:shapedefaults>
  </w:hdrShapeDefaults>
  <w:footnotePr>
    <w:footnote w:id="-1"/>
    <w:footnote w:id="0"/>
  </w:footnotePr>
  <w:endnotePr>
    <w:endnote w:id="-1"/>
    <w:endnote w:id="0"/>
  </w:endnotePr>
  <w:compat>
    <w:compatSetting w:name="compatibilityMode" w:uri="http://schemas.microsoft.com/office/word" w:val="12"/>
  </w:compat>
  <w:rsids>
    <w:rsidRoot w:val="00655C9A"/>
    <w:rsid w:val="000006B7"/>
    <w:rsid w:val="0001229F"/>
    <w:rsid w:val="00014539"/>
    <w:rsid w:val="000154FE"/>
    <w:rsid w:val="0001792D"/>
    <w:rsid w:val="0002212E"/>
    <w:rsid w:val="00033394"/>
    <w:rsid w:val="00035C2F"/>
    <w:rsid w:val="0003685B"/>
    <w:rsid w:val="0004043E"/>
    <w:rsid w:val="00046803"/>
    <w:rsid w:val="0007533D"/>
    <w:rsid w:val="0008292A"/>
    <w:rsid w:val="00083F1A"/>
    <w:rsid w:val="00084492"/>
    <w:rsid w:val="00092712"/>
    <w:rsid w:val="000A03D9"/>
    <w:rsid w:val="000A1C74"/>
    <w:rsid w:val="000A513D"/>
    <w:rsid w:val="000A6536"/>
    <w:rsid w:val="000A6FC3"/>
    <w:rsid w:val="000B6736"/>
    <w:rsid w:val="000B731A"/>
    <w:rsid w:val="000B7E57"/>
    <w:rsid w:val="000C47C0"/>
    <w:rsid w:val="000E4D24"/>
    <w:rsid w:val="000F1258"/>
    <w:rsid w:val="000F401D"/>
    <w:rsid w:val="000F4DA2"/>
    <w:rsid w:val="000F6A5A"/>
    <w:rsid w:val="0011642B"/>
    <w:rsid w:val="00116F08"/>
    <w:rsid w:val="00121302"/>
    <w:rsid w:val="00123ACE"/>
    <w:rsid w:val="00123D70"/>
    <w:rsid w:val="00141A1A"/>
    <w:rsid w:val="00144D6D"/>
    <w:rsid w:val="00170370"/>
    <w:rsid w:val="00174B81"/>
    <w:rsid w:val="0018101B"/>
    <w:rsid w:val="0018136B"/>
    <w:rsid w:val="00192F55"/>
    <w:rsid w:val="001937F6"/>
    <w:rsid w:val="001A018D"/>
    <w:rsid w:val="001A055D"/>
    <w:rsid w:val="001B0690"/>
    <w:rsid w:val="001B6F72"/>
    <w:rsid w:val="001C4279"/>
    <w:rsid w:val="001E7F89"/>
    <w:rsid w:val="0020760F"/>
    <w:rsid w:val="00221249"/>
    <w:rsid w:val="0023037C"/>
    <w:rsid w:val="0023465E"/>
    <w:rsid w:val="00251457"/>
    <w:rsid w:val="00276397"/>
    <w:rsid w:val="00295BA4"/>
    <w:rsid w:val="002A191F"/>
    <w:rsid w:val="002A79B8"/>
    <w:rsid w:val="002B4921"/>
    <w:rsid w:val="002B7211"/>
    <w:rsid w:val="002D5CA9"/>
    <w:rsid w:val="002E467B"/>
    <w:rsid w:val="002F03CE"/>
    <w:rsid w:val="002F1528"/>
    <w:rsid w:val="002F1A0D"/>
    <w:rsid w:val="002F269C"/>
    <w:rsid w:val="002F6856"/>
    <w:rsid w:val="003024DB"/>
    <w:rsid w:val="003041BB"/>
    <w:rsid w:val="00304315"/>
    <w:rsid w:val="00313529"/>
    <w:rsid w:val="00316A61"/>
    <w:rsid w:val="0031703E"/>
    <w:rsid w:val="00327EAA"/>
    <w:rsid w:val="00343BE7"/>
    <w:rsid w:val="00344C9D"/>
    <w:rsid w:val="00363F85"/>
    <w:rsid w:val="00367F93"/>
    <w:rsid w:val="003703ED"/>
    <w:rsid w:val="003749C4"/>
    <w:rsid w:val="00391929"/>
    <w:rsid w:val="003942DB"/>
    <w:rsid w:val="003A1CBF"/>
    <w:rsid w:val="003B0A67"/>
    <w:rsid w:val="003C238C"/>
    <w:rsid w:val="003C254E"/>
    <w:rsid w:val="003C3867"/>
    <w:rsid w:val="003D7992"/>
    <w:rsid w:val="003F54BC"/>
    <w:rsid w:val="00402996"/>
    <w:rsid w:val="00415E08"/>
    <w:rsid w:val="0044340A"/>
    <w:rsid w:val="00456DA1"/>
    <w:rsid w:val="0047079E"/>
    <w:rsid w:val="004759CA"/>
    <w:rsid w:val="0048417D"/>
    <w:rsid w:val="004A086C"/>
    <w:rsid w:val="004B1A19"/>
    <w:rsid w:val="004B5E66"/>
    <w:rsid w:val="004C0319"/>
    <w:rsid w:val="004C097B"/>
    <w:rsid w:val="004D6C65"/>
    <w:rsid w:val="004D7988"/>
    <w:rsid w:val="004F4D7B"/>
    <w:rsid w:val="00501581"/>
    <w:rsid w:val="0050368F"/>
    <w:rsid w:val="00511DC1"/>
    <w:rsid w:val="00514A95"/>
    <w:rsid w:val="00531D89"/>
    <w:rsid w:val="00534F92"/>
    <w:rsid w:val="00536740"/>
    <w:rsid w:val="00540721"/>
    <w:rsid w:val="005418EE"/>
    <w:rsid w:val="0054359F"/>
    <w:rsid w:val="005468C0"/>
    <w:rsid w:val="0055379B"/>
    <w:rsid w:val="00562F96"/>
    <w:rsid w:val="00564BC4"/>
    <w:rsid w:val="00566B42"/>
    <w:rsid w:val="00571D5C"/>
    <w:rsid w:val="0057444F"/>
    <w:rsid w:val="00586C37"/>
    <w:rsid w:val="005953CD"/>
    <w:rsid w:val="005A0346"/>
    <w:rsid w:val="005A1022"/>
    <w:rsid w:val="005C0B0E"/>
    <w:rsid w:val="005C6283"/>
    <w:rsid w:val="005F032B"/>
    <w:rsid w:val="005F4E21"/>
    <w:rsid w:val="00607AD1"/>
    <w:rsid w:val="00607F0C"/>
    <w:rsid w:val="00610309"/>
    <w:rsid w:val="00621120"/>
    <w:rsid w:val="00622088"/>
    <w:rsid w:val="00623903"/>
    <w:rsid w:val="00651A37"/>
    <w:rsid w:val="00655C9A"/>
    <w:rsid w:val="00656181"/>
    <w:rsid w:val="00657E40"/>
    <w:rsid w:val="00660BB5"/>
    <w:rsid w:val="00685E44"/>
    <w:rsid w:val="00690633"/>
    <w:rsid w:val="006971F2"/>
    <w:rsid w:val="006C0042"/>
    <w:rsid w:val="006C4EB8"/>
    <w:rsid w:val="006C5965"/>
    <w:rsid w:val="006D4FEF"/>
    <w:rsid w:val="006E405C"/>
    <w:rsid w:val="006E6CDC"/>
    <w:rsid w:val="006F5CD0"/>
    <w:rsid w:val="00700D6E"/>
    <w:rsid w:val="00702772"/>
    <w:rsid w:val="00706EB8"/>
    <w:rsid w:val="00717CAD"/>
    <w:rsid w:val="0072115B"/>
    <w:rsid w:val="0073336C"/>
    <w:rsid w:val="00733758"/>
    <w:rsid w:val="0073700C"/>
    <w:rsid w:val="007458C6"/>
    <w:rsid w:val="00753AEB"/>
    <w:rsid w:val="00754D8A"/>
    <w:rsid w:val="00771969"/>
    <w:rsid w:val="00773B55"/>
    <w:rsid w:val="00787246"/>
    <w:rsid w:val="00796B89"/>
    <w:rsid w:val="007A5543"/>
    <w:rsid w:val="007B3C0D"/>
    <w:rsid w:val="007C0FE6"/>
    <w:rsid w:val="007C2FF3"/>
    <w:rsid w:val="007C3F39"/>
    <w:rsid w:val="007C574A"/>
    <w:rsid w:val="007C781D"/>
    <w:rsid w:val="007D1760"/>
    <w:rsid w:val="007D5798"/>
    <w:rsid w:val="007E298B"/>
    <w:rsid w:val="007F6AD4"/>
    <w:rsid w:val="00817A4F"/>
    <w:rsid w:val="008323FE"/>
    <w:rsid w:val="00835E39"/>
    <w:rsid w:val="008438CD"/>
    <w:rsid w:val="008613C1"/>
    <w:rsid w:val="0086437B"/>
    <w:rsid w:val="008705F4"/>
    <w:rsid w:val="00871A98"/>
    <w:rsid w:val="0088518E"/>
    <w:rsid w:val="00891F4B"/>
    <w:rsid w:val="008A7365"/>
    <w:rsid w:val="008A782C"/>
    <w:rsid w:val="008B021B"/>
    <w:rsid w:val="008F2EFC"/>
    <w:rsid w:val="00902AEE"/>
    <w:rsid w:val="0090392E"/>
    <w:rsid w:val="009177EC"/>
    <w:rsid w:val="0092159E"/>
    <w:rsid w:val="00923507"/>
    <w:rsid w:val="00927D49"/>
    <w:rsid w:val="0094559F"/>
    <w:rsid w:val="00946C16"/>
    <w:rsid w:val="009511BB"/>
    <w:rsid w:val="00955958"/>
    <w:rsid w:val="00964C2C"/>
    <w:rsid w:val="009650B8"/>
    <w:rsid w:val="00967144"/>
    <w:rsid w:val="009676AD"/>
    <w:rsid w:val="0097189A"/>
    <w:rsid w:val="00981F18"/>
    <w:rsid w:val="009863CF"/>
    <w:rsid w:val="00987897"/>
    <w:rsid w:val="0099503C"/>
    <w:rsid w:val="009A3910"/>
    <w:rsid w:val="009A5C6D"/>
    <w:rsid w:val="009B176A"/>
    <w:rsid w:val="009B5428"/>
    <w:rsid w:val="009C2DEC"/>
    <w:rsid w:val="009C45F7"/>
    <w:rsid w:val="009D4C77"/>
    <w:rsid w:val="009E3627"/>
    <w:rsid w:val="00A03012"/>
    <w:rsid w:val="00A03687"/>
    <w:rsid w:val="00A172B8"/>
    <w:rsid w:val="00A22152"/>
    <w:rsid w:val="00A24AEE"/>
    <w:rsid w:val="00A26236"/>
    <w:rsid w:val="00A309CB"/>
    <w:rsid w:val="00A34866"/>
    <w:rsid w:val="00A372FD"/>
    <w:rsid w:val="00A50DBB"/>
    <w:rsid w:val="00A51C03"/>
    <w:rsid w:val="00A60871"/>
    <w:rsid w:val="00A65609"/>
    <w:rsid w:val="00A75804"/>
    <w:rsid w:val="00A907FE"/>
    <w:rsid w:val="00A924E4"/>
    <w:rsid w:val="00AB7B9E"/>
    <w:rsid w:val="00AC7F75"/>
    <w:rsid w:val="00AD7D44"/>
    <w:rsid w:val="00AE6A99"/>
    <w:rsid w:val="00AF7A48"/>
    <w:rsid w:val="00B07D07"/>
    <w:rsid w:val="00B07D1A"/>
    <w:rsid w:val="00B13A2C"/>
    <w:rsid w:val="00B174EE"/>
    <w:rsid w:val="00B21955"/>
    <w:rsid w:val="00B30EF7"/>
    <w:rsid w:val="00B3715D"/>
    <w:rsid w:val="00B44753"/>
    <w:rsid w:val="00B44B89"/>
    <w:rsid w:val="00B45631"/>
    <w:rsid w:val="00B45F97"/>
    <w:rsid w:val="00B46EAB"/>
    <w:rsid w:val="00B652E8"/>
    <w:rsid w:val="00B867D6"/>
    <w:rsid w:val="00B87B7A"/>
    <w:rsid w:val="00B961F6"/>
    <w:rsid w:val="00B973A5"/>
    <w:rsid w:val="00B97621"/>
    <w:rsid w:val="00BC32B3"/>
    <w:rsid w:val="00BC3D15"/>
    <w:rsid w:val="00BC63F7"/>
    <w:rsid w:val="00BD0460"/>
    <w:rsid w:val="00BF1527"/>
    <w:rsid w:val="00BF5348"/>
    <w:rsid w:val="00BF723E"/>
    <w:rsid w:val="00C01E01"/>
    <w:rsid w:val="00C020D6"/>
    <w:rsid w:val="00C047E1"/>
    <w:rsid w:val="00C0602A"/>
    <w:rsid w:val="00C10794"/>
    <w:rsid w:val="00C20058"/>
    <w:rsid w:val="00C3396E"/>
    <w:rsid w:val="00C36FA7"/>
    <w:rsid w:val="00C43D53"/>
    <w:rsid w:val="00C55157"/>
    <w:rsid w:val="00C64BEF"/>
    <w:rsid w:val="00C735EE"/>
    <w:rsid w:val="00C7570B"/>
    <w:rsid w:val="00C76419"/>
    <w:rsid w:val="00C81170"/>
    <w:rsid w:val="00C83146"/>
    <w:rsid w:val="00C8448E"/>
    <w:rsid w:val="00C848F1"/>
    <w:rsid w:val="00C9097E"/>
    <w:rsid w:val="00CA0B15"/>
    <w:rsid w:val="00CB7F50"/>
    <w:rsid w:val="00CE5D5E"/>
    <w:rsid w:val="00CE6EEF"/>
    <w:rsid w:val="00CF6BF3"/>
    <w:rsid w:val="00D04856"/>
    <w:rsid w:val="00D17F74"/>
    <w:rsid w:val="00D24EF4"/>
    <w:rsid w:val="00D26A02"/>
    <w:rsid w:val="00D3332D"/>
    <w:rsid w:val="00D3372C"/>
    <w:rsid w:val="00D43085"/>
    <w:rsid w:val="00D43EB2"/>
    <w:rsid w:val="00D54CCF"/>
    <w:rsid w:val="00D600AC"/>
    <w:rsid w:val="00D607B8"/>
    <w:rsid w:val="00D627AE"/>
    <w:rsid w:val="00D64137"/>
    <w:rsid w:val="00D663E4"/>
    <w:rsid w:val="00D73398"/>
    <w:rsid w:val="00D87910"/>
    <w:rsid w:val="00D931E3"/>
    <w:rsid w:val="00DA1E57"/>
    <w:rsid w:val="00DB4EBD"/>
    <w:rsid w:val="00DB6BE0"/>
    <w:rsid w:val="00DD52FB"/>
    <w:rsid w:val="00DD799B"/>
    <w:rsid w:val="00DE6015"/>
    <w:rsid w:val="00DE6F34"/>
    <w:rsid w:val="00DF1E17"/>
    <w:rsid w:val="00E10286"/>
    <w:rsid w:val="00E11B56"/>
    <w:rsid w:val="00E11DB6"/>
    <w:rsid w:val="00E1528D"/>
    <w:rsid w:val="00E20019"/>
    <w:rsid w:val="00E21FEC"/>
    <w:rsid w:val="00E257C7"/>
    <w:rsid w:val="00E27EE8"/>
    <w:rsid w:val="00E360C2"/>
    <w:rsid w:val="00E50B53"/>
    <w:rsid w:val="00E62ACE"/>
    <w:rsid w:val="00E63491"/>
    <w:rsid w:val="00E84C70"/>
    <w:rsid w:val="00EA0DAD"/>
    <w:rsid w:val="00EB23AF"/>
    <w:rsid w:val="00EC662D"/>
    <w:rsid w:val="00ED48F1"/>
    <w:rsid w:val="00ED5CB6"/>
    <w:rsid w:val="00EE4B4B"/>
    <w:rsid w:val="00EE57AD"/>
    <w:rsid w:val="00EE7B14"/>
    <w:rsid w:val="00EF38B9"/>
    <w:rsid w:val="00EF602D"/>
    <w:rsid w:val="00F07459"/>
    <w:rsid w:val="00F251C3"/>
    <w:rsid w:val="00F3199F"/>
    <w:rsid w:val="00F323AB"/>
    <w:rsid w:val="00F53555"/>
    <w:rsid w:val="00F56785"/>
    <w:rsid w:val="00F62960"/>
    <w:rsid w:val="00F7375B"/>
    <w:rsid w:val="00F752C0"/>
    <w:rsid w:val="00F77C53"/>
    <w:rsid w:val="00F86138"/>
    <w:rsid w:val="00F90835"/>
    <w:rsid w:val="00FA02B5"/>
    <w:rsid w:val="00FA1A3F"/>
    <w:rsid w:val="00FA3484"/>
    <w:rsid w:val="00FA6EF4"/>
    <w:rsid w:val="00FA7B0D"/>
    <w:rsid w:val="00FB0953"/>
    <w:rsid w:val="00FB0C71"/>
    <w:rsid w:val="00FE6883"/>
    <w:rsid w:val="00FE74EB"/>
    <w:rsid w:val="00FF37D1"/>
    <w:rsid w:val="00FF46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7a003c"/>
    </o:shapedefaults>
    <o:shapelayout v:ext="edit">
      <o:idmap v:ext="edit" data="1"/>
      <o:rules v:ext="edit">
        <o:r id="V:Rule1" type="connector" idref="#_x0000_s1089"/>
        <o:r id="V:Rule2" type="connector" idref="#_x0000_s1031"/>
        <o:r id="V:Rule3" type="connector" idref="#_x0000_s109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C9A"/>
    <w:pPr>
      <w:jc w:val="both"/>
    </w:pPr>
    <w:rPr>
      <w:color w:val="17365D" w:themeColor="text2" w:themeShade="BF"/>
      <w:sz w:val="21"/>
    </w:rPr>
  </w:style>
  <w:style w:type="paragraph" w:styleId="Titre1">
    <w:name w:val="heading 1"/>
    <w:basedOn w:val="Normal"/>
    <w:next w:val="Normal"/>
    <w:link w:val="Titre1Car"/>
    <w:uiPriority w:val="9"/>
    <w:qFormat/>
    <w:rsid w:val="00655C9A"/>
    <w:pPr>
      <w:keepNext/>
      <w:keepLines/>
      <w:spacing w:before="480" w:after="0"/>
      <w:outlineLvl w:val="0"/>
    </w:pPr>
    <w:rPr>
      <w:rFonts w:eastAsiaTheme="majorEastAsia" w:cstheme="majorBidi"/>
      <w:b/>
      <w:bCs/>
      <w:color w:val="0D0D0D" w:themeColor="text1" w:themeTint="F2"/>
      <w:sz w:val="36"/>
      <w:szCs w:val="28"/>
    </w:rPr>
  </w:style>
  <w:style w:type="paragraph" w:styleId="Titre2">
    <w:name w:val="heading 2"/>
    <w:basedOn w:val="Normal"/>
    <w:next w:val="Normal"/>
    <w:link w:val="Titre2Car"/>
    <w:uiPriority w:val="9"/>
    <w:unhideWhenUsed/>
    <w:qFormat/>
    <w:rsid w:val="00655C9A"/>
    <w:pPr>
      <w:keepNext/>
      <w:keepLines/>
      <w:spacing w:before="200" w:after="0"/>
      <w:outlineLvl w:val="1"/>
    </w:pPr>
    <w:rPr>
      <w:rFonts w:eastAsiaTheme="majorEastAsia" w:cstheme="majorBidi"/>
      <w:b/>
      <w:bCs/>
      <w:color w:val="0D0D0D" w:themeColor="text1" w:themeTint="F2"/>
      <w:sz w:val="26"/>
      <w:szCs w:val="26"/>
    </w:rPr>
  </w:style>
  <w:style w:type="paragraph" w:styleId="Titre3">
    <w:name w:val="heading 3"/>
    <w:basedOn w:val="Normal"/>
    <w:next w:val="Normal"/>
    <w:link w:val="Titre3Car"/>
    <w:uiPriority w:val="9"/>
    <w:unhideWhenUsed/>
    <w:qFormat/>
    <w:rsid w:val="00655C9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55C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grisclair">
    <w:name w:val="grisclair"/>
    <w:basedOn w:val="Policepardfaut"/>
    <w:rsid w:val="00655C9A"/>
  </w:style>
  <w:style w:type="paragraph" w:customStyle="1" w:styleId="Textedebase">
    <w:name w:val="Texte de base"/>
    <w:basedOn w:val="Titre4"/>
    <w:link w:val="TextedebaseCar"/>
    <w:qFormat/>
    <w:rsid w:val="001B6F72"/>
    <w:pPr>
      <w:keepNext w:val="0"/>
      <w:keepLines w:val="0"/>
      <w:spacing w:before="0" w:after="200"/>
      <w:ind w:left="1134"/>
    </w:pPr>
    <w:rPr>
      <w:rFonts w:asciiTheme="minorHAnsi" w:eastAsiaTheme="minorHAnsi" w:hAnsiTheme="minorHAnsi" w:cstheme="minorBidi"/>
      <w:b w:val="0"/>
      <w:bCs w:val="0"/>
      <w:i w:val="0"/>
      <w:iCs w:val="0"/>
      <w:color w:val="262626" w:themeColor="text1" w:themeTint="D9"/>
      <w:sz w:val="20"/>
      <w:szCs w:val="21"/>
    </w:rPr>
  </w:style>
  <w:style w:type="character" w:customStyle="1" w:styleId="TextedebaseCar">
    <w:name w:val="Texte de base Car"/>
    <w:basedOn w:val="Titre4Car"/>
    <w:link w:val="Textedebase"/>
    <w:rsid w:val="001B6F72"/>
    <w:rPr>
      <w:rFonts w:asciiTheme="majorHAnsi" w:eastAsiaTheme="majorEastAsia" w:hAnsiTheme="majorHAnsi" w:cstheme="majorBidi"/>
      <w:b/>
      <w:bCs/>
      <w:i/>
      <w:iCs/>
      <w:color w:val="262626" w:themeColor="text1" w:themeTint="D9"/>
      <w:sz w:val="20"/>
      <w:szCs w:val="21"/>
    </w:rPr>
  </w:style>
  <w:style w:type="character" w:customStyle="1" w:styleId="Titre4Car">
    <w:name w:val="Titre 4 Car"/>
    <w:basedOn w:val="Policepardfaut"/>
    <w:link w:val="Titre4"/>
    <w:uiPriority w:val="9"/>
    <w:semiHidden/>
    <w:rsid w:val="00655C9A"/>
    <w:rPr>
      <w:rFonts w:asciiTheme="majorHAnsi" w:eastAsiaTheme="majorEastAsia" w:hAnsiTheme="majorHAnsi" w:cstheme="majorBidi"/>
      <w:b/>
      <w:bCs/>
      <w:i/>
      <w:iCs/>
      <w:color w:val="4F81BD" w:themeColor="accent1"/>
      <w:sz w:val="21"/>
    </w:rPr>
  </w:style>
  <w:style w:type="character" w:customStyle="1" w:styleId="Titre1Car">
    <w:name w:val="Titre 1 Car"/>
    <w:basedOn w:val="Policepardfaut"/>
    <w:link w:val="Titre1"/>
    <w:uiPriority w:val="9"/>
    <w:rsid w:val="00655C9A"/>
    <w:rPr>
      <w:rFonts w:eastAsiaTheme="majorEastAsia" w:cstheme="majorBidi"/>
      <w:b/>
      <w:bCs/>
      <w:color w:val="0D0D0D" w:themeColor="text1" w:themeTint="F2"/>
      <w:sz w:val="36"/>
      <w:szCs w:val="28"/>
    </w:rPr>
  </w:style>
  <w:style w:type="character" w:customStyle="1" w:styleId="Titre2Car">
    <w:name w:val="Titre 2 Car"/>
    <w:basedOn w:val="Policepardfaut"/>
    <w:link w:val="Titre2"/>
    <w:uiPriority w:val="9"/>
    <w:semiHidden/>
    <w:rsid w:val="00655C9A"/>
    <w:rPr>
      <w:rFonts w:eastAsiaTheme="majorEastAsia" w:cstheme="majorBidi"/>
      <w:b/>
      <w:bCs/>
      <w:color w:val="0D0D0D" w:themeColor="text1" w:themeTint="F2"/>
      <w:sz w:val="26"/>
      <w:szCs w:val="26"/>
    </w:rPr>
  </w:style>
  <w:style w:type="character" w:customStyle="1" w:styleId="Titre3Car">
    <w:name w:val="Titre 3 Car"/>
    <w:basedOn w:val="Policepardfaut"/>
    <w:link w:val="Titre3"/>
    <w:uiPriority w:val="9"/>
    <w:semiHidden/>
    <w:rsid w:val="00655C9A"/>
    <w:rPr>
      <w:rFonts w:asciiTheme="majorHAnsi" w:eastAsiaTheme="majorEastAsia" w:hAnsiTheme="majorHAnsi" w:cstheme="majorBidi"/>
      <w:b/>
      <w:bCs/>
      <w:color w:val="4F81BD" w:themeColor="accent1"/>
      <w:sz w:val="21"/>
    </w:rPr>
  </w:style>
  <w:style w:type="paragraph" w:styleId="Paragraphedeliste">
    <w:name w:val="List Paragraph"/>
    <w:basedOn w:val="Normal"/>
    <w:link w:val="ParagraphedelisteCar"/>
    <w:uiPriority w:val="34"/>
    <w:qFormat/>
    <w:rsid w:val="00655C9A"/>
    <w:pPr>
      <w:ind w:left="720"/>
      <w:contextualSpacing/>
    </w:pPr>
  </w:style>
  <w:style w:type="character" w:customStyle="1" w:styleId="ParagraphedelisteCar">
    <w:name w:val="Paragraphe de liste Car"/>
    <w:basedOn w:val="Policepardfaut"/>
    <w:link w:val="Paragraphedeliste"/>
    <w:uiPriority w:val="34"/>
    <w:rsid w:val="00655C9A"/>
    <w:rPr>
      <w:color w:val="17365D" w:themeColor="text2" w:themeShade="BF"/>
      <w:sz w:val="21"/>
    </w:rPr>
  </w:style>
  <w:style w:type="paragraph" w:styleId="Textedebulles">
    <w:name w:val="Balloon Text"/>
    <w:basedOn w:val="Normal"/>
    <w:link w:val="TextedebullesCar"/>
    <w:uiPriority w:val="99"/>
    <w:semiHidden/>
    <w:unhideWhenUsed/>
    <w:rsid w:val="00655C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5C9A"/>
    <w:rPr>
      <w:rFonts w:ascii="Tahoma" w:hAnsi="Tahoma" w:cs="Tahoma"/>
      <w:color w:val="17365D" w:themeColor="text2" w:themeShade="BF"/>
      <w:sz w:val="16"/>
      <w:szCs w:val="16"/>
    </w:rPr>
  </w:style>
  <w:style w:type="paragraph" w:styleId="En-tte">
    <w:name w:val="header"/>
    <w:basedOn w:val="Normal"/>
    <w:link w:val="En-tteCar"/>
    <w:uiPriority w:val="99"/>
    <w:semiHidden/>
    <w:unhideWhenUsed/>
    <w:rsid w:val="00655C9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55C9A"/>
    <w:rPr>
      <w:color w:val="17365D" w:themeColor="text2" w:themeShade="BF"/>
      <w:sz w:val="21"/>
    </w:rPr>
  </w:style>
  <w:style w:type="paragraph" w:styleId="Pieddepage">
    <w:name w:val="footer"/>
    <w:basedOn w:val="Normal"/>
    <w:link w:val="PieddepageCar"/>
    <w:uiPriority w:val="99"/>
    <w:unhideWhenUsed/>
    <w:rsid w:val="00655C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5C9A"/>
    <w:rPr>
      <w:color w:val="17365D" w:themeColor="text2" w:themeShade="BF"/>
      <w:sz w:val="21"/>
    </w:rPr>
  </w:style>
  <w:style w:type="table" w:styleId="Grilledutableau">
    <w:name w:val="Table Grid"/>
    <w:basedOn w:val="TableauNormal"/>
    <w:uiPriority w:val="59"/>
    <w:rsid w:val="006211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621120"/>
    <w:pPr>
      <w:spacing w:after="0" w:line="240" w:lineRule="auto"/>
    </w:pPr>
    <w:rPr>
      <w:szCs w:val="20"/>
    </w:rPr>
  </w:style>
  <w:style w:type="character" w:customStyle="1" w:styleId="NotedebasdepageCar">
    <w:name w:val="Note de bas de page Car"/>
    <w:basedOn w:val="Policepardfaut"/>
    <w:link w:val="Notedebasdepage"/>
    <w:uiPriority w:val="99"/>
    <w:rsid w:val="00621120"/>
    <w:rPr>
      <w:color w:val="17365D" w:themeColor="text2" w:themeShade="BF"/>
      <w:sz w:val="21"/>
      <w:szCs w:val="20"/>
    </w:rPr>
  </w:style>
  <w:style w:type="character" w:styleId="Appelnotedebasdep">
    <w:name w:val="footnote reference"/>
    <w:basedOn w:val="Policepardfaut"/>
    <w:uiPriority w:val="99"/>
    <w:unhideWhenUsed/>
    <w:rsid w:val="00621120"/>
    <w:rPr>
      <w:vertAlign w:val="superscript"/>
    </w:rPr>
  </w:style>
  <w:style w:type="table" w:customStyle="1" w:styleId="Trameclaire-Accent11">
    <w:name w:val="Trame claire - Accent 11"/>
    <w:basedOn w:val="TableauNormal"/>
    <w:uiPriority w:val="60"/>
    <w:rsid w:val="00DB4EB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ansinterligne">
    <w:name w:val="No Spacing"/>
    <w:link w:val="SansinterligneCar"/>
    <w:uiPriority w:val="1"/>
    <w:qFormat/>
    <w:rsid w:val="0097189A"/>
    <w:pPr>
      <w:spacing w:after="0" w:line="240" w:lineRule="auto"/>
    </w:pPr>
    <w:rPr>
      <w:rFonts w:eastAsiaTheme="minorEastAsia"/>
    </w:rPr>
  </w:style>
  <w:style w:type="character" w:customStyle="1" w:styleId="SansinterligneCar">
    <w:name w:val="Sans interligne Car"/>
    <w:basedOn w:val="Policepardfaut"/>
    <w:link w:val="Sansinterligne"/>
    <w:uiPriority w:val="1"/>
    <w:rsid w:val="0097189A"/>
    <w:rPr>
      <w:rFonts w:eastAsiaTheme="minorEastAsia"/>
    </w:rPr>
  </w:style>
  <w:style w:type="character" w:styleId="Lienhypertexte">
    <w:name w:val="Hyperlink"/>
    <w:basedOn w:val="Policepardfaut"/>
    <w:uiPriority w:val="99"/>
    <w:unhideWhenUsed/>
    <w:rsid w:val="00F567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54766">
      <w:bodyDiv w:val="1"/>
      <w:marLeft w:val="0"/>
      <w:marRight w:val="0"/>
      <w:marTop w:val="0"/>
      <w:marBottom w:val="0"/>
      <w:divBdr>
        <w:top w:val="none" w:sz="0" w:space="0" w:color="auto"/>
        <w:left w:val="none" w:sz="0" w:space="0" w:color="auto"/>
        <w:bottom w:val="none" w:sz="0" w:space="0" w:color="auto"/>
        <w:right w:val="none" w:sz="0" w:space="0" w:color="auto"/>
      </w:divBdr>
    </w:div>
    <w:div w:id="151002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2.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1.xml"/><Relationship Id="rId38"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hyperlink" Target="mailto:contact@asteres.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13.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hyperlink" Target="http://www.asteres.fr" TargetMode="Externa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4.xml"/><Relationship Id="rId10" Type="http://schemas.openxmlformats.org/officeDocument/2006/relationships/chart" Target="charts/chart1.xml"/><Relationship Id="rId19" Type="http://schemas.openxmlformats.org/officeDocument/2006/relationships/chart" Target="charts/chart8.xml"/><Relationship Id="rId31" Type="http://schemas.openxmlformats.org/officeDocument/2006/relationships/chart" Target="charts/chart1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image" Target="media/image3.wmf"/><Relationship Id="rId35" Type="http://schemas.openxmlformats.org/officeDocument/2006/relationships/chart" Target="charts/chart23.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Christophe\Bureau\Mutualit&#233;%20fran&#231;aise\Stat\Comptes%20de%20la%20sant&#233;%20201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Christophe\Bureau\Mutualit&#233;%20fran&#231;aise\Stat\SANTE%2020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Christophe\Bureau\Mutualit&#233;%20fran&#231;aise\Stat\SANTE%202011.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Documents%20and%20Settings\Christophe\Bureau\OCDE%20sant&#233;%20(version%201).xlsb"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Documents%20and%20Settings\Christophe\Bureau\Mutualit&#233;%20fran&#231;aise\Stat\SANTE%20201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Christophe\Bureau\Orangina\Taxe%20nutritionelle\Donn&#233;e\ob&#233;sit&#233;%20monde.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Christophe\Bureau\OCDE%20-%20recettes%20fiscales%20%25%20PIB.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Documents%20and%20Settings\Christophe\Bureau\OCDE%20-%20cotisations%20sociales%20en%20%25%20du%20co&#251;t%20du%20travail.xlsx" TargetMode="External"/></Relationships>
</file>

<file path=word/charts/_rels/chart17.xml.rels><?xml version="1.0" encoding="UTF-8" standalone="yes"?>
<Relationships xmlns="http://schemas.openxmlformats.org/package/2006/relationships"><Relationship Id="rId2" Type="http://schemas.openxmlformats.org/officeDocument/2006/relationships/oleObject" Target="file:///C:\Documents%20and%20Settings\Christophe\Bureau\Mutualit&#233;%20fran&#231;aise\Stat\Historique%20financement%20priv&#233;.xlsx" TargetMode="External"/><Relationship Id="rId1" Type="http://schemas.openxmlformats.org/officeDocument/2006/relationships/themeOverride" Target="../theme/themeOverride3.xm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Christophe\Bureau\Mutuelles\Structure%20de%20financement.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Christophe\Bureau\Mutualit&#233;%20fran&#231;aise\Stat\Comptes%20de%20la%20sant&#233;%20201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Christophe\Bureau\Taxe%20nutritionelle\Donn&#233;e\Dette,%20d&#233;ficit%20public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Christophe\Bureau\SANTE%202011.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Documents%20and%20Settings\Christophe\Bureau\Part%20des%20versement%20m&#233;nages%20et%20d&#233;pense%20courante%20de%20sant&#233;.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Documents%20and%20Settings\Christophe\Bureau\Mutualit&#233;%20fran&#231;aise\Stat\Comptes%20de%20la%20sant&#233;%202011.xlsx"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Documents%20and%20Settings\Christophe\Bureau\Mutuelles\inflmation.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Documents%20and%20Settings\Christophe\Bureau\Var%20CA%20(-%20de2M&#8364;)\Consolidation%20des%20r&#233;sultats%2002.xlsx" TargetMode="External"/></Relationships>
</file>

<file path=word/charts/_rels/chart25.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Classeur1"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Documents%20and%20Settings\Christophe\Bureau\Finances%20publiques\Synth&#232;ses.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Documents%20and%20Settings\Christophe\Bureau\Finances%20publiques\Synth&#232;ses.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Documents%20and%20Settings\Christophe\Bureau\Finances%20publiques\Synth&#232;ses.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Documents%20and%20Settings\Christophe\Bureau\Finances%20publiques\Synth&#232;ses.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C:\Documents%20and%20Settings\Christophe\Bureau\Orangina\Taxe%20nutritionelle\Donn&#233;e\Dette,%20d&#233;ficit%20publics.xlsx" TargetMode="External"/><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Christophe\Bureau\Mutuelles\OCDE%20sant&#23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Christophe\Bureau\Mutuelles\OCDE%20sant&#23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723290402653183E-2"/>
          <c:y val="4.7639814814814822E-2"/>
          <c:w val="0.9348969460212827"/>
          <c:h val="0.78784622510421487"/>
        </c:manualLayout>
      </c:layout>
      <c:barChart>
        <c:barDir val="col"/>
        <c:grouping val="stacked"/>
        <c:varyColors val="0"/>
        <c:ser>
          <c:idx val="0"/>
          <c:order val="0"/>
          <c:tx>
            <c:strRef>
              <c:f>'F1.13-g01'!$A$10</c:f>
              <c:strCache>
                <c:ptCount val="1"/>
                <c:pt idx="0">
                  <c:v> Effet volume</c:v>
                </c:pt>
              </c:strCache>
            </c:strRef>
          </c:tx>
          <c:spPr>
            <a:solidFill>
              <a:sysClr val="window" lastClr="FFFFFF">
                <a:lumMod val="65000"/>
                <a:alpha val="60000"/>
              </a:sysClr>
            </a:solidFill>
          </c:spPr>
          <c:invertIfNegative val="0"/>
          <c:cat>
            <c:strRef>
              <c:f>'F1.13-g01'!$D$9:$M$9</c:f>
              <c:strCache>
                <c:ptCount val="10"/>
                <c:pt idx="0">
                  <c:v>02</c:v>
                </c:pt>
                <c:pt idx="1">
                  <c:v>03</c:v>
                </c:pt>
                <c:pt idx="2">
                  <c:v>04</c:v>
                </c:pt>
                <c:pt idx="3">
                  <c:v>05</c:v>
                </c:pt>
                <c:pt idx="4">
                  <c:v>06</c:v>
                </c:pt>
                <c:pt idx="5">
                  <c:v>07</c:v>
                </c:pt>
                <c:pt idx="6">
                  <c:v>08</c:v>
                </c:pt>
                <c:pt idx="7">
                  <c:v>09</c:v>
                </c:pt>
                <c:pt idx="8">
                  <c:v>10</c:v>
                </c:pt>
                <c:pt idx="9">
                  <c:v>11</c:v>
                </c:pt>
              </c:strCache>
            </c:strRef>
          </c:cat>
          <c:val>
            <c:numRef>
              <c:f>'F1.13-g01'!$D$10:$M$10</c:f>
              <c:numCache>
                <c:formatCode>0.0</c:formatCode>
                <c:ptCount val="10"/>
                <c:pt idx="0">
                  <c:v>2.8766326923077368</c:v>
                </c:pt>
                <c:pt idx="1">
                  <c:v>1.7065368822682239</c:v>
                </c:pt>
                <c:pt idx="2">
                  <c:v>3.0202472331979209</c:v>
                </c:pt>
                <c:pt idx="3">
                  <c:v>1.6157564325400386</c:v>
                </c:pt>
                <c:pt idx="4">
                  <c:v>4.5429699915398913</c:v>
                </c:pt>
                <c:pt idx="5">
                  <c:v>3.5293775692845792</c:v>
                </c:pt>
                <c:pt idx="6">
                  <c:v>1.5951221395945367</c:v>
                </c:pt>
                <c:pt idx="7">
                  <c:v>2.6825502815182745</c:v>
                </c:pt>
                <c:pt idx="8">
                  <c:v>3.1520863883605159</c:v>
                </c:pt>
                <c:pt idx="9">
                  <c:v>3.877210934113859</c:v>
                </c:pt>
              </c:numCache>
            </c:numRef>
          </c:val>
        </c:ser>
        <c:ser>
          <c:idx val="1"/>
          <c:order val="1"/>
          <c:tx>
            <c:strRef>
              <c:f>'F1.13-g01'!$A$11</c:f>
              <c:strCache>
                <c:ptCount val="1"/>
                <c:pt idx="0">
                  <c:v> Effet prix</c:v>
                </c:pt>
              </c:strCache>
            </c:strRef>
          </c:tx>
          <c:spPr>
            <a:solidFill>
              <a:srgbClr val="7A003C">
                <a:alpha val="60000"/>
              </a:srgbClr>
            </a:solidFill>
          </c:spPr>
          <c:invertIfNegative val="0"/>
          <c:cat>
            <c:strRef>
              <c:f>'F1.13-g01'!$D$9:$M$9</c:f>
              <c:strCache>
                <c:ptCount val="10"/>
                <c:pt idx="0">
                  <c:v>02</c:v>
                </c:pt>
                <c:pt idx="1">
                  <c:v>03</c:v>
                </c:pt>
                <c:pt idx="2">
                  <c:v>04</c:v>
                </c:pt>
                <c:pt idx="3">
                  <c:v>05</c:v>
                </c:pt>
                <c:pt idx="4">
                  <c:v>06</c:v>
                </c:pt>
                <c:pt idx="5">
                  <c:v>07</c:v>
                </c:pt>
                <c:pt idx="6">
                  <c:v>08</c:v>
                </c:pt>
                <c:pt idx="7">
                  <c:v>09</c:v>
                </c:pt>
                <c:pt idx="8">
                  <c:v>10</c:v>
                </c:pt>
                <c:pt idx="9">
                  <c:v>11</c:v>
                </c:pt>
              </c:strCache>
            </c:strRef>
          </c:cat>
          <c:val>
            <c:numRef>
              <c:f>'F1.13-g01'!$D$11:$M$11</c:f>
              <c:numCache>
                <c:formatCode>0.0</c:formatCode>
                <c:ptCount val="10"/>
                <c:pt idx="0">
                  <c:v>1.4343983802994285</c:v>
                </c:pt>
                <c:pt idx="1">
                  <c:v>2.5230600658153457</c:v>
                </c:pt>
                <c:pt idx="2">
                  <c:v>2.1677855128467254</c:v>
                </c:pt>
                <c:pt idx="3">
                  <c:v>1.6855312085268537</c:v>
                </c:pt>
                <c:pt idx="4">
                  <c:v>0.20059077051688234</c:v>
                </c:pt>
                <c:pt idx="5">
                  <c:v>0.72706079302582793</c:v>
                </c:pt>
                <c:pt idx="6">
                  <c:v>1.5867248836390846</c:v>
                </c:pt>
                <c:pt idx="7">
                  <c:v>1.0559184641822421</c:v>
                </c:pt>
                <c:pt idx="8">
                  <c:v>0.19907818430047644</c:v>
                </c:pt>
                <c:pt idx="9">
                  <c:v>1.0326860000006381E-2</c:v>
                </c:pt>
              </c:numCache>
            </c:numRef>
          </c:val>
        </c:ser>
        <c:dLbls>
          <c:showLegendKey val="0"/>
          <c:showVal val="0"/>
          <c:showCatName val="0"/>
          <c:showSerName val="0"/>
          <c:showPercent val="0"/>
          <c:showBubbleSize val="0"/>
        </c:dLbls>
        <c:gapWidth val="55"/>
        <c:overlap val="100"/>
        <c:axId val="84819968"/>
        <c:axId val="84821504"/>
      </c:barChart>
      <c:catAx>
        <c:axId val="84819968"/>
        <c:scaling>
          <c:orientation val="minMax"/>
        </c:scaling>
        <c:delete val="0"/>
        <c:axPos val="b"/>
        <c:majorTickMark val="none"/>
        <c:minorTickMark val="none"/>
        <c:tickLblPos val="nextTo"/>
        <c:spPr>
          <a:ln>
            <a:solidFill>
              <a:schemeClr val="tx1">
                <a:lumMod val="75000"/>
                <a:lumOff val="25000"/>
              </a:schemeClr>
            </a:solidFill>
            <a:tailEnd type="triangle"/>
          </a:ln>
        </c:spPr>
        <c:crossAx val="84821504"/>
        <c:crosses val="autoZero"/>
        <c:auto val="1"/>
        <c:lblAlgn val="ctr"/>
        <c:lblOffset val="100"/>
        <c:noMultiLvlLbl val="0"/>
      </c:catAx>
      <c:valAx>
        <c:axId val="84821504"/>
        <c:scaling>
          <c:orientation val="minMax"/>
        </c:scaling>
        <c:delete val="0"/>
        <c:axPos val="l"/>
        <c:numFmt formatCode="0" sourceLinked="0"/>
        <c:majorTickMark val="none"/>
        <c:minorTickMark val="none"/>
        <c:tickLblPos val="nextTo"/>
        <c:spPr>
          <a:ln>
            <a:solidFill>
              <a:schemeClr val="tx1">
                <a:lumMod val="75000"/>
                <a:lumOff val="25000"/>
              </a:schemeClr>
            </a:solidFill>
            <a:tailEnd type="triangle"/>
          </a:ln>
        </c:spPr>
        <c:crossAx val="84819968"/>
        <c:crosses val="autoZero"/>
        <c:crossBetween val="between"/>
      </c:valAx>
      <c:spPr>
        <a:noFill/>
        <a:ln>
          <a:noFill/>
        </a:ln>
      </c:spPr>
    </c:plotArea>
    <c:legend>
      <c:legendPos val="r"/>
      <c:layout>
        <c:manualLayout>
          <c:xMode val="edge"/>
          <c:yMode val="edge"/>
          <c:x val="0.59367230259008663"/>
          <c:y val="0.91388331360540764"/>
          <c:w val="0.36463386844086348"/>
          <c:h val="7.084692844766953E-2"/>
        </c:manualLayout>
      </c:layout>
      <c:overlay val="0"/>
    </c:legend>
    <c:plotVisOnly val="1"/>
    <c:dispBlanksAs val="gap"/>
    <c:showDLblsOverMax val="0"/>
  </c:chart>
  <c:spPr>
    <a:noFill/>
    <a:ln>
      <a:noFill/>
    </a:ln>
  </c:spPr>
  <c:txPr>
    <a:bodyPr/>
    <a:lstStyle/>
    <a:p>
      <a:pPr>
        <a:defRPr sz="900" i="1">
          <a:solidFill>
            <a:schemeClr val="tx1">
              <a:lumMod val="75000"/>
              <a:lumOff val="25000"/>
            </a:schemeClr>
          </a:solidFill>
        </a:defRPr>
      </a:pPr>
      <a:endParaRPr lang="fr-FR"/>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1"/>
            </a:pPr>
            <a:r>
              <a:rPr lang="fr-FR" sz="1000" b="0" i="1"/>
              <a:t>Dépense par tête PPA** - $US</a:t>
            </a:r>
          </a:p>
        </c:rich>
      </c:tx>
      <c:layout>
        <c:manualLayout>
          <c:xMode val="edge"/>
          <c:yMode val="edge"/>
          <c:x val="0.27322779389418667"/>
          <c:y val="0"/>
        </c:manualLayout>
      </c:layout>
      <c:overlay val="1"/>
    </c:title>
    <c:autoTitleDeleted val="0"/>
    <c:plotArea>
      <c:layout>
        <c:manualLayout>
          <c:layoutTarget val="inner"/>
          <c:xMode val="edge"/>
          <c:yMode val="edge"/>
          <c:x val="0.2948731408573928"/>
          <c:y val="5.6870140759815217E-2"/>
          <c:w val="0.62912704333011782"/>
          <c:h val="0.88467975529523835"/>
        </c:manualLayout>
      </c:layout>
      <c:barChart>
        <c:barDir val="bar"/>
        <c:grouping val="clustered"/>
        <c:varyColors val="0"/>
        <c:ser>
          <c:idx val="0"/>
          <c:order val="0"/>
          <c:spPr>
            <a:solidFill>
              <a:prstClr val="white">
                <a:lumMod val="75000"/>
              </a:prstClr>
            </a:solidFill>
          </c:spPr>
          <c:invertIfNegative val="0"/>
          <c:dPt>
            <c:idx val="23"/>
            <c:invertIfNegative val="0"/>
            <c:bubble3D val="0"/>
            <c:spPr>
              <a:solidFill>
                <a:srgbClr val="7A003C"/>
              </a:solidFill>
            </c:spPr>
          </c:dPt>
          <c:cat>
            <c:strRef>
              <c:f>'graph B_encadré'!$E$6:$E$38</c:f>
              <c:strCache>
                <c:ptCount val="33"/>
                <c:pt idx="0">
                  <c:v>Mexique *</c:v>
                </c:pt>
                <c:pt idx="1">
                  <c:v>Turquie *</c:v>
                </c:pt>
                <c:pt idx="2">
                  <c:v>Pologne</c:v>
                </c:pt>
                <c:pt idx="3">
                  <c:v>Hongrie</c:v>
                </c:pt>
                <c:pt idx="4">
                  <c:v>Rép. tchèque</c:v>
                </c:pt>
                <c:pt idx="5">
                  <c:v>Corée</c:v>
                </c:pt>
                <c:pt idx="6">
                  <c:v>Rép. slovaque</c:v>
                </c:pt>
                <c:pt idx="7">
                  <c:v>Israël *</c:v>
                </c:pt>
                <c:pt idx="8">
                  <c:v>Slovénie</c:v>
                </c:pt>
                <c:pt idx="9">
                  <c:v>Portugal</c:v>
                </c:pt>
                <c:pt idx="10">
                  <c:v>Grèce *</c:v>
                </c:pt>
                <c:pt idx="11">
                  <c:v>Italie</c:v>
                </c:pt>
                <c:pt idx="12">
                  <c:v>Nelle-Zélande</c:v>
                </c:pt>
                <c:pt idx="13">
                  <c:v>Japon *</c:v>
                </c:pt>
                <c:pt idx="14">
                  <c:v>Espagne *</c:v>
                </c:pt>
                <c:pt idx="15">
                  <c:v>Finlande</c:v>
                </c:pt>
                <c:pt idx="16">
                  <c:v>OCDE</c:v>
                </c:pt>
                <c:pt idx="17">
                  <c:v>Islande</c:v>
                </c:pt>
                <c:pt idx="18">
                  <c:v>Royaume-Uni</c:v>
                </c:pt>
                <c:pt idx="19">
                  <c:v>Irlande</c:v>
                </c:pt>
                <c:pt idx="20">
                  <c:v>Australie *</c:v>
                </c:pt>
                <c:pt idx="21">
                  <c:v>Suède</c:v>
                </c:pt>
                <c:pt idx="22">
                  <c:v>Belgique</c:v>
                </c:pt>
                <c:pt idx="23">
                  <c:v>France</c:v>
                </c:pt>
                <c:pt idx="24">
                  <c:v>Allemagne</c:v>
                </c:pt>
                <c:pt idx="25">
                  <c:v>Autriche</c:v>
                </c:pt>
                <c:pt idx="26">
                  <c:v>Canada</c:v>
                </c:pt>
                <c:pt idx="27">
                  <c:v>Danemark</c:v>
                </c:pt>
                <c:pt idx="28">
                  <c:v>Luxembourg *</c:v>
                </c:pt>
                <c:pt idx="29">
                  <c:v>Pays-Bas</c:v>
                </c:pt>
                <c:pt idx="30">
                  <c:v>Suisse</c:v>
                </c:pt>
                <c:pt idx="31">
                  <c:v>Norvège</c:v>
                </c:pt>
                <c:pt idx="32">
                  <c:v>États-Unis</c:v>
                </c:pt>
              </c:strCache>
            </c:strRef>
          </c:cat>
          <c:val>
            <c:numRef>
              <c:f>'graph B_encadré'!$F$6:$F$38</c:f>
              <c:numCache>
                <c:formatCode>0</c:formatCode>
                <c:ptCount val="33"/>
                <c:pt idx="0">
                  <c:v>915.72749999999996</c:v>
                </c:pt>
                <c:pt idx="1">
                  <c:v>958.67709000000002</c:v>
                </c:pt>
                <c:pt idx="2">
                  <c:v>1388.6886999999999</c:v>
                </c:pt>
                <c:pt idx="3">
                  <c:v>1600.5</c:v>
                </c:pt>
                <c:pt idx="4">
                  <c:v>1883.5481</c:v>
                </c:pt>
                <c:pt idx="5">
                  <c:v>2035.4036000000001</c:v>
                </c:pt>
                <c:pt idx="6">
                  <c:v>2095.4740000000002</c:v>
                </c:pt>
                <c:pt idx="7">
                  <c:v>2207.79</c:v>
                </c:pt>
                <c:pt idx="8">
                  <c:v>2428.4893999999999</c:v>
                </c:pt>
                <c:pt idx="9">
                  <c:v>2727.706299999973</c:v>
                </c:pt>
                <c:pt idx="10">
                  <c:v>2913.721</c:v>
                </c:pt>
                <c:pt idx="11">
                  <c:v>2963.6559999999999</c:v>
                </c:pt>
                <c:pt idx="12">
                  <c:v>3022.1354000000001</c:v>
                </c:pt>
                <c:pt idx="13">
                  <c:v>3095.3407560000246</c:v>
                </c:pt>
                <c:pt idx="14">
                  <c:v>3137.9103540000256</c:v>
                </c:pt>
                <c:pt idx="15">
                  <c:v>3250.9063000000001</c:v>
                </c:pt>
                <c:pt idx="16">
                  <c:v>3268</c:v>
                </c:pt>
                <c:pt idx="17">
                  <c:v>3309.3411000000256</c:v>
                </c:pt>
                <c:pt idx="18">
                  <c:v>3433.2498999999702</c:v>
                </c:pt>
                <c:pt idx="19">
                  <c:v>3718.2175999999999</c:v>
                </c:pt>
                <c:pt idx="20">
                  <c:v>3743.6481659999754</c:v>
                </c:pt>
                <c:pt idx="21">
                  <c:v>3757.7001999999998</c:v>
                </c:pt>
                <c:pt idx="22">
                  <c:v>3968.8361000000223</c:v>
                </c:pt>
                <c:pt idx="23">
                  <c:v>3974.0010000000002</c:v>
                </c:pt>
                <c:pt idx="24">
                  <c:v>4338.4282000000003</c:v>
                </c:pt>
                <c:pt idx="25">
                  <c:v>4394.7556000000004</c:v>
                </c:pt>
                <c:pt idx="26">
                  <c:v>4444.8602000000465</c:v>
                </c:pt>
                <c:pt idx="27">
                  <c:v>4463.9157000000005</c:v>
                </c:pt>
                <c:pt idx="28">
                  <c:v>4881.7169400000002</c:v>
                </c:pt>
                <c:pt idx="29">
                  <c:v>5056.2356999999993</c:v>
                </c:pt>
                <c:pt idx="30">
                  <c:v>5269.6410000000014</c:v>
                </c:pt>
                <c:pt idx="31">
                  <c:v>5387.5857999999998</c:v>
                </c:pt>
                <c:pt idx="32">
                  <c:v>8232.8749999998763</c:v>
                </c:pt>
              </c:numCache>
            </c:numRef>
          </c:val>
        </c:ser>
        <c:dLbls>
          <c:showLegendKey val="0"/>
          <c:showVal val="0"/>
          <c:showCatName val="0"/>
          <c:showSerName val="0"/>
          <c:showPercent val="0"/>
          <c:showBubbleSize val="0"/>
        </c:dLbls>
        <c:gapWidth val="35"/>
        <c:axId val="85663744"/>
        <c:axId val="85665280"/>
      </c:barChart>
      <c:catAx>
        <c:axId val="85663744"/>
        <c:scaling>
          <c:orientation val="minMax"/>
        </c:scaling>
        <c:delete val="0"/>
        <c:axPos val="l"/>
        <c:majorTickMark val="none"/>
        <c:minorTickMark val="none"/>
        <c:tickLblPos val="nextTo"/>
        <c:crossAx val="85665280"/>
        <c:crosses val="autoZero"/>
        <c:auto val="1"/>
        <c:lblAlgn val="ctr"/>
        <c:lblOffset val="100"/>
        <c:noMultiLvlLbl val="0"/>
      </c:catAx>
      <c:valAx>
        <c:axId val="85665280"/>
        <c:scaling>
          <c:orientation val="minMax"/>
        </c:scaling>
        <c:delete val="0"/>
        <c:axPos val="b"/>
        <c:majorGridlines>
          <c:spPr>
            <a:ln>
              <a:solidFill>
                <a:schemeClr val="bg1">
                  <a:lumMod val="85000"/>
                </a:schemeClr>
              </a:solidFill>
            </a:ln>
          </c:spPr>
        </c:majorGridlines>
        <c:numFmt formatCode="#,##0" sourceLinked="0"/>
        <c:majorTickMark val="none"/>
        <c:minorTickMark val="none"/>
        <c:tickLblPos val="nextTo"/>
        <c:spPr>
          <a:ln>
            <a:noFill/>
          </a:ln>
        </c:spPr>
        <c:crossAx val="85663744"/>
        <c:crosses val="autoZero"/>
        <c:crossBetween val="between"/>
      </c:valAx>
      <c:spPr>
        <a:ln>
          <a:solidFill>
            <a:schemeClr val="bg1">
              <a:lumMod val="85000"/>
            </a:schemeClr>
          </a:solidFill>
        </a:ln>
      </c:spPr>
    </c:plotArea>
    <c:plotVisOnly val="1"/>
    <c:dispBlanksAs val="gap"/>
    <c:showDLblsOverMax val="0"/>
  </c:chart>
  <c:spPr>
    <a:ln>
      <a:noFill/>
    </a:ln>
  </c:spPr>
  <c:txPr>
    <a:bodyPr/>
    <a:lstStyle/>
    <a:p>
      <a:pPr>
        <a:defRPr sz="900">
          <a:solidFill>
            <a:schemeClr val="tx1">
              <a:lumMod val="85000"/>
              <a:lumOff val="15000"/>
            </a:schemeClr>
          </a:solidFill>
        </a:defRPr>
      </a:pPr>
      <a:endParaRPr lang="fr-F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1"/>
            </a:pPr>
            <a:r>
              <a:rPr lang="fr-FR" sz="1000" b="0" i="1"/>
              <a:t>En pourcentage du PIB</a:t>
            </a:r>
          </a:p>
        </c:rich>
      </c:tx>
      <c:layout>
        <c:manualLayout>
          <c:xMode val="edge"/>
          <c:yMode val="edge"/>
          <c:x val="0.26718399855190517"/>
          <c:y val="0"/>
        </c:manualLayout>
      </c:layout>
      <c:overlay val="1"/>
    </c:title>
    <c:autoTitleDeleted val="0"/>
    <c:plotArea>
      <c:layout>
        <c:manualLayout>
          <c:layoutTarget val="inner"/>
          <c:xMode val="edge"/>
          <c:yMode val="edge"/>
          <c:x val="9.2647298398045225E-2"/>
          <c:y val="5.4346961078264013E-2"/>
          <c:w val="0.62912704333011749"/>
          <c:h val="0.90105117643212762"/>
        </c:manualLayout>
      </c:layout>
      <c:barChart>
        <c:barDir val="bar"/>
        <c:grouping val="clustered"/>
        <c:varyColors val="0"/>
        <c:ser>
          <c:idx val="0"/>
          <c:order val="0"/>
          <c:spPr>
            <a:solidFill>
              <a:schemeClr val="bg1">
                <a:lumMod val="75000"/>
              </a:schemeClr>
            </a:solidFill>
          </c:spPr>
          <c:invertIfNegative val="0"/>
          <c:dPt>
            <c:idx val="30"/>
            <c:invertIfNegative val="0"/>
            <c:bubble3D val="0"/>
            <c:spPr>
              <a:solidFill>
                <a:srgbClr val="7A003C"/>
              </a:solidFill>
            </c:spPr>
          </c:dPt>
          <c:cat>
            <c:strRef>
              <c:f>'graph B_encadré'!$B$6:$B$38</c:f>
              <c:strCache>
                <c:ptCount val="33"/>
                <c:pt idx="0">
                  <c:v>Turquie *</c:v>
                </c:pt>
                <c:pt idx="1">
                  <c:v>Mexique *</c:v>
                </c:pt>
                <c:pt idx="2">
                  <c:v>Pologne</c:v>
                </c:pt>
                <c:pt idx="3">
                  <c:v>Corée</c:v>
                </c:pt>
                <c:pt idx="4">
                  <c:v>Rép. tchèque</c:v>
                </c:pt>
                <c:pt idx="5">
                  <c:v>Hongrie</c:v>
                </c:pt>
                <c:pt idx="6">
                  <c:v>Israël *</c:v>
                </c:pt>
                <c:pt idx="7">
                  <c:v>Luxembourg *</c:v>
                </c:pt>
                <c:pt idx="8">
                  <c:v>Finlande</c:v>
                </c:pt>
                <c:pt idx="9">
                  <c:v>Rép. slovaque</c:v>
                </c:pt>
                <c:pt idx="10">
                  <c:v>Slovénie</c:v>
                </c:pt>
                <c:pt idx="11">
                  <c:v>Australie *</c:v>
                </c:pt>
                <c:pt idx="12">
                  <c:v>Irlande</c:v>
                </c:pt>
                <c:pt idx="13">
                  <c:v>Islande</c:v>
                </c:pt>
                <c:pt idx="14">
                  <c:v>Italie</c:v>
                </c:pt>
                <c:pt idx="15">
                  <c:v>Norvège</c:v>
                </c:pt>
                <c:pt idx="16">
                  <c:v>Japon *</c:v>
                </c:pt>
                <c:pt idx="17">
                  <c:v>OCDE</c:v>
                </c:pt>
                <c:pt idx="18">
                  <c:v>Suède</c:v>
                </c:pt>
                <c:pt idx="19">
                  <c:v>Espagne *</c:v>
                </c:pt>
                <c:pt idx="20">
                  <c:v>Royaume-Uni</c:v>
                </c:pt>
                <c:pt idx="21">
                  <c:v>Grèce *</c:v>
                </c:pt>
                <c:pt idx="22">
                  <c:v>Nelle-Zélande</c:v>
                </c:pt>
                <c:pt idx="23">
                  <c:v>Belgique</c:v>
                </c:pt>
                <c:pt idx="24">
                  <c:v>Portugal</c:v>
                </c:pt>
                <c:pt idx="25">
                  <c:v>Autriche</c:v>
                </c:pt>
                <c:pt idx="26">
                  <c:v>Danemark</c:v>
                </c:pt>
                <c:pt idx="27">
                  <c:v>Suisse</c:v>
                </c:pt>
                <c:pt idx="28">
                  <c:v>Canada</c:v>
                </c:pt>
                <c:pt idx="29">
                  <c:v>Allemagne</c:v>
                </c:pt>
                <c:pt idx="30">
                  <c:v>France</c:v>
                </c:pt>
                <c:pt idx="31">
                  <c:v>Pays-Bas</c:v>
                </c:pt>
                <c:pt idx="32">
                  <c:v>États-Unis</c:v>
                </c:pt>
              </c:strCache>
            </c:strRef>
          </c:cat>
          <c:val>
            <c:numRef>
              <c:f>'graph B_encadré'!$C$6:$C$38</c:f>
              <c:numCache>
                <c:formatCode>0.00</c:formatCode>
                <c:ptCount val="33"/>
                <c:pt idx="0">
                  <c:v>5.5042</c:v>
                </c:pt>
                <c:pt idx="1">
                  <c:v>6.1440999999999955</c:v>
                </c:pt>
                <c:pt idx="2">
                  <c:v>6.5095999999999998</c:v>
                </c:pt>
                <c:pt idx="3">
                  <c:v>6.7094000000000014</c:v>
                </c:pt>
                <c:pt idx="4">
                  <c:v>7.2716000000000571</c:v>
                </c:pt>
                <c:pt idx="5">
                  <c:v>7.5651999999999955</c:v>
                </c:pt>
                <c:pt idx="6">
                  <c:v>7.6509999999999945</c:v>
                </c:pt>
                <c:pt idx="7">
                  <c:v>7.9100999999999999</c:v>
                </c:pt>
                <c:pt idx="8">
                  <c:v>8.4782000000000011</c:v>
                </c:pt>
                <c:pt idx="9">
                  <c:v>8.5024000000000068</c:v>
                </c:pt>
                <c:pt idx="10">
                  <c:v>8.6418000000000017</c:v>
                </c:pt>
                <c:pt idx="11">
                  <c:v>8.7031000000000009</c:v>
                </c:pt>
                <c:pt idx="12">
                  <c:v>8.8688000000000002</c:v>
                </c:pt>
                <c:pt idx="13">
                  <c:v>9.2851000000000035</c:v>
                </c:pt>
                <c:pt idx="14">
                  <c:v>8.9417000000000009</c:v>
                </c:pt>
                <c:pt idx="15">
                  <c:v>9.0655000000000268</c:v>
                </c:pt>
                <c:pt idx="16">
                  <c:v>9.2885000000000009</c:v>
                </c:pt>
                <c:pt idx="17">
                  <c:v>9.146932352941171</c:v>
                </c:pt>
                <c:pt idx="18">
                  <c:v>9.0552000000000028</c:v>
                </c:pt>
                <c:pt idx="19">
                  <c:v>9.2984000000000009</c:v>
                </c:pt>
                <c:pt idx="20">
                  <c:v>9.1151</c:v>
                </c:pt>
                <c:pt idx="21">
                  <c:v>9.4640000000000004</c:v>
                </c:pt>
                <c:pt idx="22">
                  <c:v>10.075900000000004</c:v>
                </c:pt>
                <c:pt idx="23">
                  <c:v>10.546299999999999</c:v>
                </c:pt>
                <c:pt idx="24">
                  <c:v>10.155000000000006</c:v>
                </c:pt>
                <c:pt idx="25">
                  <c:v>10.4031</c:v>
                </c:pt>
                <c:pt idx="26">
                  <c:v>10.708399999999999</c:v>
                </c:pt>
                <c:pt idx="27">
                  <c:v>11.355400000000149</c:v>
                </c:pt>
                <c:pt idx="28">
                  <c:v>10.763200000000001</c:v>
                </c:pt>
                <c:pt idx="29">
                  <c:v>11.193900000000001</c:v>
                </c:pt>
                <c:pt idx="30">
                  <c:v>11.233600000000001</c:v>
                </c:pt>
                <c:pt idx="31">
                  <c:v>11.2095</c:v>
                </c:pt>
                <c:pt idx="32">
                  <c:v>16.920999999999989</c:v>
                </c:pt>
              </c:numCache>
            </c:numRef>
          </c:val>
        </c:ser>
        <c:dLbls>
          <c:showLegendKey val="0"/>
          <c:showVal val="0"/>
          <c:showCatName val="0"/>
          <c:showSerName val="0"/>
          <c:showPercent val="0"/>
          <c:showBubbleSize val="0"/>
        </c:dLbls>
        <c:gapWidth val="35"/>
        <c:axId val="85690240"/>
        <c:axId val="85691776"/>
      </c:barChart>
      <c:catAx>
        <c:axId val="85690240"/>
        <c:scaling>
          <c:orientation val="minMax"/>
        </c:scaling>
        <c:delete val="0"/>
        <c:axPos val="r"/>
        <c:majorTickMark val="none"/>
        <c:minorTickMark val="none"/>
        <c:tickLblPos val="low"/>
        <c:spPr>
          <a:ln>
            <a:solidFill>
              <a:schemeClr val="tx1">
                <a:lumMod val="85000"/>
                <a:lumOff val="15000"/>
              </a:schemeClr>
            </a:solidFill>
          </a:ln>
        </c:spPr>
        <c:crossAx val="85691776"/>
        <c:crosses val="autoZero"/>
        <c:auto val="1"/>
        <c:lblAlgn val="ctr"/>
        <c:lblOffset val="100"/>
        <c:noMultiLvlLbl val="0"/>
      </c:catAx>
      <c:valAx>
        <c:axId val="85691776"/>
        <c:scaling>
          <c:orientation val="maxMin"/>
        </c:scaling>
        <c:delete val="0"/>
        <c:axPos val="b"/>
        <c:majorGridlines>
          <c:spPr>
            <a:ln>
              <a:solidFill>
                <a:schemeClr val="bg1">
                  <a:lumMod val="85000"/>
                </a:schemeClr>
              </a:solidFill>
            </a:ln>
          </c:spPr>
        </c:majorGridlines>
        <c:numFmt formatCode="0" sourceLinked="0"/>
        <c:majorTickMark val="out"/>
        <c:minorTickMark val="none"/>
        <c:tickLblPos val="low"/>
        <c:spPr>
          <a:ln>
            <a:noFill/>
          </a:ln>
        </c:spPr>
        <c:crossAx val="85690240"/>
        <c:crosses val="autoZero"/>
        <c:crossBetween val="between"/>
      </c:valAx>
      <c:spPr>
        <a:ln>
          <a:solidFill>
            <a:schemeClr val="bg1">
              <a:lumMod val="85000"/>
            </a:schemeClr>
          </a:solidFill>
        </a:ln>
      </c:spPr>
    </c:plotArea>
    <c:plotVisOnly val="1"/>
    <c:dispBlanksAs val="gap"/>
    <c:showDLblsOverMax val="0"/>
  </c:chart>
  <c:spPr>
    <a:ln>
      <a:noFill/>
    </a:ln>
  </c:spPr>
  <c:txPr>
    <a:bodyPr/>
    <a:lstStyle/>
    <a:p>
      <a:pPr>
        <a:defRPr sz="900">
          <a:solidFill>
            <a:schemeClr val="tx1">
              <a:lumMod val="85000"/>
              <a:lumOff val="15000"/>
            </a:schemeClr>
          </a:solidFill>
        </a:defRPr>
      </a:pPr>
      <a:endParaRPr lang="fr-F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092093829160922E-2"/>
          <c:y val="5.1758345547762347E-2"/>
          <c:w val="0.89744980162780164"/>
          <c:h val="0.83145445862456535"/>
        </c:manualLayout>
      </c:layout>
      <c:lineChart>
        <c:grouping val="standard"/>
        <c:varyColors val="0"/>
        <c:ser>
          <c:idx val="0"/>
          <c:order val="0"/>
          <c:tx>
            <c:strRef>
              <c:f>'MRI exams'!$A$53</c:f>
              <c:strCache>
                <c:ptCount val="1"/>
                <c:pt idx="0">
                  <c:v>Royaume-Uni</c:v>
                </c:pt>
              </c:strCache>
            </c:strRef>
          </c:tx>
          <c:spPr>
            <a:ln w="31750">
              <a:solidFill>
                <a:schemeClr val="tx2">
                  <a:lumMod val="75000"/>
                </a:schemeClr>
              </a:solidFill>
              <a:prstDash val="sysDot"/>
            </a:ln>
          </c:spPr>
          <c:marker>
            <c:symbol val="none"/>
          </c:marker>
          <c:cat>
            <c:strRef>
              <c:f>'MRI exams'!$B$52:$M$52</c:f>
              <c:strCache>
                <c:ptCount val="12"/>
                <c:pt idx="0">
                  <c:v>00</c:v>
                </c:pt>
                <c:pt idx="1">
                  <c:v>01</c:v>
                </c:pt>
                <c:pt idx="2">
                  <c:v>02</c:v>
                </c:pt>
                <c:pt idx="3">
                  <c:v>03</c:v>
                </c:pt>
                <c:pt idx="4">
                  <c:v>04</c:v>
                </c:pt>
                <c:pt idx="5">
                  <c:v>05</c:v>
                </c:pt>
                <c:pt idx="6">
                  <c:v>06</c:v>
                </c:pt>
                <c:pt idx="7">
                  <c:v>07</c:v>
                </c:pt>
                <c:pt idx="8">
                  <c:v>08</c:v>
                </c:pt>
                <c:pt idx="9">
                  <c:v>09</c:v>
                </c:pt>
                <c:pt idx="10">
                  <c:v>10</c:v>
                </c:pt>
                <c:pt idx="11">
                  <c:v>11</c:v>
                </c:pt>
              </c:strCache>
            </c:strRef>
          </c:cat>
          <c:val>
            <c:numRef>
              <c:f>'MRI exams'!$B$53:$M$53</c:f>
              <c:numCache>
                <c:formatCode>0.0</c:formatCode>
                <c:ptCount val="12"/>
                <c:pt idx="0">
                  <c:v>12.8</c:v>
                </c:pt>
                <c:pt idx="1">
                  <c:v>14.3</c:v>
                </c:pt>
                <c:pt idx="2">
                  <c:v>15.8</c:v>
                </c:pt>
                <c:pt idx="3">
                  <c:v>17.2</c:v>
                </c:pt>
                <c:pt idx="4">
                  <c:v>18.8</c:v>
                </c:pt>
                <c:pt idx="5">
                  <c:v>22.2</c:v>
                </c:pt>
                <c:pt idx="6">
                  <c:v>24.8</c:v>
                </c:pt>
                <c:pt idx="7">
                  <c:v>29.1</c:v>
                </c:pt>
                <c:pt idx="8">
                  <c:v>33.6</c:v>
                </c:pt>
                <c:pt idx="9">
                  <c:v>38</c:v>
                </c:pt>
                <c:pt idx="10">
                  <c:v>40.800000000000004</c:v>
                </c:pt>
              </c:numCache>
            </c:numRef>
          </c:val>
          <c:smooth val="0"/>
        </c:ser>
        <c:ser>
          <c:idx val="1"/>
          <c:order val="1"/>
          <c:tx>
            <c:strRef>
              <c:f>'MRI exams'!$A$54</c:f>
              <c:strCache>
                <c:ptCount val="1"/>
                <c:pt idx="0">
                  <c:v>Etats-Unis</c:v>
                </c:pt>
              </c:strCache>
            </c:strRef>
          </c:tx>
          <c:spPr>
            <a:ln w="31750">
              <a:solidFill>
                <a:srgbClr val="7A003C"/>
              </a:solidFill>
              <a:prstDash val="sysDot"/>
            </a:ln>
          </c:spPr>
          <c:marker>
            <c:symbol val="none"/>
          </c:marker>
          <c:cat>
            <c:strRef>
              <c:f>'MRI exams'!$B$52:$M$52</c:f>
              <c:strCache>
                <c:ptCount val="12"/>
                <c:pt idx="0">
                  <c:v>00</c:v>
                </c:pt>
                <c:pt idx="1">
                  <c:v>01</c:v>
                </c:pt>
                <c:pt idx="2">
                  <c:v>02</c:v>
                </c:pt>
                <c:pt idx="3">
                  <c:v>03</c:v>
                </c:pt>
                <c:pt idx="4">
                  <c:v>04</c:v>
                </c:pt>
                <c:pt idx="5">
                  <c:v>05</c:v>
                </c:pt>
                <c:pt idx="6">
                  <c:v>06</c:v>
                </c:pt>
                <c:pt idx="7">
                  <c:v>07</c:v>
                </c:pt>
                <c:pt idx="8">
                  <c:v>08</c:v>
                </c:pt>
                <c:pt idx="9">
                  <c:v>09</c:v>
                </c:pt>
                <c:pt idx="10">
                  <c:v>10</c:v>
                </c:pt>
                <c:pt idx="11">
                  <c:v>11</c:v>
                </c:pt>
              </c:strCache>
            </c:strRef>
          </c:cat>
          <c:val>
            <c:numRef>
              <c:f>'MRI exams'!$B$54:$M$54</c:f>
              <c:numCache>
                <c:formatCode>0.0</c:formatCode>
                <c:ptCount val="12"/>
                <c:pt idx="0">
                  <c:v>56</c:v>
                </c:pt>
                <c:pt idx="1">
                  <c:v>63.1</c:v>
                </c:pt>
                <c:pt idx="2">
                  <c:v>76.099999999999994</c:v>
                </c:pt>
                <c:pt idx="3">
                  <c:v>83.4</c:v>
                </c:pt>
                <c:pt idx="4">
                  <c:v>84.3</c:v>
                </c:pt>
                <c:pt idx="5">
                  <c:v>85.6</c:v>
                </c:pt>
                <c:pt idx="6">
                  <c:v>89.1</c:v>
                </c:pt>
                <c:pt idx="7">
                  <c:v>91.2</c:v>
                </c:pt>
                <c:pt idx="8">
                  <c:v>93.4</c:v>
                </c:pt>
                <c:pt idx="9">
                  <c:v>95.9</c:v>
                </c:pt>
                <c:pt idx="10">
                  <c:v>97.7</c:v>
                </c:pt>
              </c:numCache>
            </c:numRef>
          </c:val>
          <c:smooth val="0"/>
        </c:ser>
        <c:ser>
          <c:idx val="2"/>
          <c:order val="2"/>
          <c:tx>
            <c:strRef>
              <c:f>'MRI exams'!$A$55</c:f>
              <c:strCache>
                <c:ptCount val="1"/>
                <c:pt idx="0">
                  <c:v>France</c:v>
                </c:pt>
              </c:strCache>
            </c:strRef>
          </c:tx>
          <c:spPr>
            <a:ln>
              <a:solidFill>
                <a:srgbClr val="7A003C"/>
              </a:solidFill>
            </a:ln>
          </c:spPr>
          <c:marker>
            <c:symbol val="none"/>
          </c:marker>
          <c:dLbls>
            <c:dLbl>
              <c:idx val="10"/>
              <c:layout>
                <c:manualLayout>
                  <c:x val="-6.4179563917330804E-2"/>
                  <c:y val="-4.1956702005001782E-2"/>
                </c:manualLayout>
              </c:layout>
              <c:tx>
                <c:rich>
                  <a:bodyPr/>
                  <a:lstStyle/>
                  <a:p>
                    <a:pPr>
                      <a:defRPr sz="850" b="0">
                        <a:solidFill>
                          <a:srgbClr val="7A003C"/>
                        </a:solidFill>
                      </a:defRPr>
                    </a:pPr>
                    <a:r>
                      <a:rPr lang="en-US" sz="850" b="0">
                        <a:solidFill>
                          <a:srgbClr val="7A003C"/>
                        </a:solidFill>
                      </a:rPr>
                      <a:t>France</a:t>
                    </a:r>
                  </a:p>
                </c:rich>
              </c:tx>
              <c:spPr/>
              <c:showLegendKey val="0"/>
              <c:showVal val="1"/>
              <c:showCatName val="0"/>
              <c:showSerName val="0"/>
              <c:showPercent val="0"/>
              <c:showBubbleSize val="0"/>
            </c:dLbl>
            <c:showLegendKey val="0"/>
            <c:showVal val="0"/>
            <c:showCatName val="0"/>
            <c:showSerName val="0"/>
            <c:showPercent val="0"/>
            <c:showBubbleSize val="0"/>
          </c:dLbls>
          <c:cat>
            <c:strRef>
              <c:f>'MRI exams'!$B$52:$M$52</c:f>
              <c:strCache>
                <c:ptCount val="12"/>
                <c:pt idx="0">
                  <c:v>00</c:v>
                </c:pt>
                <c:pt idx="1">
                  <c:v>01</c:v>
                </c:pt>
                <c:pt idx="2">
                  <c:v>02</c:v>
                </c:pt>
                <c:pt idx="3">
                  <c:v>03</c:v>
                </c:pt>
                <c:pt idx="4">
                  <c:v>04</c:v>
                </c:pt>
                <c:pt idx="5">
                  <c:v>05</c:v>
                </c:pt>
                <c:pt idx="6">
                  <c:v>06</c:v>
                </c:pt>
                <c:pt idx="7">
                  <c:v>07</c:v>
                </c:pt>
                <c:pt idx="8">
                  <c:v>08</c:v>
                </c:pt>
                <c:pt idx="9">
                  <c:v>09</c:v>
                </c:pt>
                <c:pt idx="10">
                  <c:v>10</c:v>
                </c:pt>
                <c:pt idx="11">
                  <c:v>11</c:v>
                </c:pt>
              </c:strCache>
            </c:strRef>
          </c:cat>
          <c:val>
            <c:numRef>
              <c:f>'MRI exams'!$B$55:$M$55</c:f>
              <c:numCache>
                <c:formatCode>General</c:formatCode>
                <c:ptCount val="12"/>
                <c:pt idx="6" formatCode="0.0">
                  <c:v>38</c:v>
                </c:pt>
                <c:pt idx="7" formatCode="0.0">
                  <c:v>44.1</c:v>
                </c:pt>
                <c:pt idx="8" formatCode="0.0">
                  <c:v>48.3</c:v>
                </c:pt>
                <c:pt idx="9" formatCode="0.0">
                  <c:v>55.1</c:v>
                </c:pt>
                <c:pt idx="10" formatCode="0.0">
                  <c:v>60.2</c:v>
                </c:pt>
              </c:numCache>
            </c:numRef>
          </c:val>
          <c:smooth val="0"/>
        </c:ser>
        <c:ser>
          <c:idx val="3"/>
          <c:order val="3"/>
          <c:tx>
            <c:strRef>
              <c:f>'MRI exams'!$A$56</c:f>
              <c:strCache>
                <c:ptCount val="1"/>
                <c:pt idx="0">
                  <c:v>Danemark</c:v>
                </c:pt>
              </c:strCache>
            </c:strRef>
          </c:tx>
          <c:spPr>
            <a:ln w="25400">
              <a:solidFill>
                <a:schemeClr val="accent1">
                  <a:lumMod val="60000"/>
                  <a:lumOff val="40000"/>
                </a:schemeClr>
              </a:solidFill>
            </a:ln>
          </c:spPr>
          <c:marker>
            <c:symbol val="none"/>
          </c:marker>
          <c:dLbls>
            <c:dLbl>
              <c:idx val="9"/>
              <c:layout>
                <c:manualLayout>
                  <c:x val="-2.1929012345679208E-3"/>
                  <c:y val="1.2767592592592593E-2"/>
                </c:manualLayout>
              </c:layout>
              <c:tx>
                <c:rich>
                  <a:bodyPr/>
                  <a:lstStyle/>
                  <a:p>
                    <a:pPr>
                      <a:defRPr sz="850" b="0">
                        <a:solidFill>
                          <a:schemeClr val="accent1">
                            <a:lumMod val="50000"/>
                          </a:schemeClr>
                        </a:solidFill>
                      </a:defRPr>
                    </a:pPr>
                    <a:r>
                      <a:rPr lang="en-US" sz="850" b="0">
                        <a:solidFill>
                          <a:schemeClr val="accent1">
                            <a:lumMod val="50000"/>
                          </a:schemeClr>
                        </a:solidFill>
                      </a:rPr>
                      <a:t>Danemark</a:t>
                    </a:r>
                  </a:p>
                </c:rich>
              </c:tx>
              <c:spPr/>
              <c:showLegendKey val="0"/>
              <c:showVal val="1"/>
              <c:showCatName val="0"/>
              <c:showSerName val="0"/>
              <c:showPercent val="0"/>
              <c:showBubbleSize val="0"/>
            </c:dLbl>
            <c:showLegendKey val="0"/>
            <c:showVal val="0"/>
            <c:showCatName val="0"/>
            <c:showSerName val="0"/>
            <c:showPercent val="0"/>
            <c:showBubbleSize val="0"/>
          </c:dLbls>
          <c:cat>
            <c:strRef>
              <c:f>'MRI exams'!$B$52:$M$52</c:f>
              <c:strCache>
                <c:ptCount val="12"/>
                <c:pt idx="0">
                  <c:v>00</c:v>
                </c:pt>
                <c:pt idx="1">
                  <c:v>01</c:v>
                </c:pt>
                <c:pt idx="2">
                  <c:v>02</c:v>
                </c:pt>
                <c:pt idx="3">
                  <c:v>03</c:v>
                </c:pt>
                <c:pt idx="4">
                  <c:v>04</c:v>
                </c:pt>
                <c:pt idx="5">
                  <c:v>05</c:v>
                </c:pt>
                <c:pt idx="6">
                  <c:v>06</c:v>
                </c:pt>
                <c:pt idx="7">
                  <c:v>07</c:v>
                </c:pt>
                <c:pt idx="8">
                  <c:v>08</c:v>
                </c:pt>
                <c:pt idx="9">
                  <c:v>09</c:v>
                </c:pt>
                <c:pt idx="10">
                  <c:v>10</c:v>
                </c:pt>
                <c:pt idx="11">
                  <c:v>11</c:v>
                </c:pt>
              </c:strCache>
            </c:strRef>
          </c:cat>
          <c:val>
            <c:numRef>
              <c:f>'MRI exams'!$B$56:$M$56</c:f>
              <c:numCache>
                <c:formatCode>General</c:formatCode>
                <c:ptCount val="12"/>
                <c:pt idx="3" formatCode="0.0">
                  <c:v>20.9</c:v>
                </c:pt>
                <c:pt idx="4" formatCode="0.0">
                  <c:v>23.5</c:v>
                </c:pt>
                <c:pt idx="5" formatCode="0.0">
                  <c:v>27</c:v>
                </c:pt>
                <c:pt idx="6" formatCode="0.0">
                  <c:v>32.4</c:v>
                </c:pt>
                <c:pt idx="7" formatCode="0.0">
                  <c:v>36</c:v>
                </c:pt>
                <c:pt idx="8" formatCode="0.0">
                  <c:v>42.3</c:v>
                </c:pt>
                <c:pt idx="9" formatCode="0.0">
                  <c:v>51</c:v>
                </c:pt>
                <c:pt idx="10" formatCode="0.0">
                  <c:v>57.5</c:v>
                </c:pt>
                <c:pt idx="11" formatCode="0.0">
                  <c:v>61.7</c:v>
                </c:pt>
              </c:numCache>
            </c:numRef>
          </c:val>
          <c:smooth val="0"/>
        </c:ser>
        <c:ser>
          <c:idx val="4"/>
          <c:order val="4"/>
          <c:tx>
            <c:strRef>
              <c:f>'MRI exams'!$A$57</c:f>
              <c:strCache>
                <c:ptCount val="1"/>
                <c:pt idx="0">
                  <c:v>Luxembourg</c:v>
                </c:pt>
              </c:strCache>
            </c:strRef>
          </c:tx>
          <c:spPr>
            <a:ln w="25400">
              <a:solidFill>
                <a:schemeClr val="accent6">
                  <a:lumMod val="50000"/>
                </a:schemeClr>
              </a:solidFill>
              <a:prstDash val="solid"/>
            </a:ln>
          </c:spPr>
          <c:marker>
            <c:symbol val="none"/>
          </c:marker>
          <c:cat>
            <c:strRef>
              <c:f>'MRI exams'!$B$52:$M$52</c:f>
              <c:strCache>
                <c:ptCount val="12"/>
                <c:pt idx="0">
                  <c:v>00</c:v>
                </c:pt>
                <c:pt idx="1">
                  <c:v>01</c:v>
                </c:pt>
                <c:pt idx="2">
                  <c:v>02</c:v>
                </c:pt>
                <c:pt idx="3">
                  <c:v>03</c:v>
                </c:pt>
                <c:pt idx="4">
                  <c:v>04</c:v>
                </c:pt>
                <c:pt idx="5">
                  <c:v>05</c:v>
                </c:pt>
                <c:pt idx="6">
                  <c:v>06</c:v>
                </c:pt>
                <c:pt idx="7">
                  <c:v>07</c:v>
                </c:pt>
                <c:pt idx="8">
                  <c:v>08</c:v>
                </c:pt>
                <c:pt idx="9">
                  <c:v>09</c:v>
                </c:pt>
                <c:pt idx="10">
                  <c:v>10</c:v>
                </c:pt>
                <c:pt idx="11">
                  <c:v>11</c:v>
                </c:pt>
              </c:strCache>
            </c:strRef>
          </c:cat>
          <c:val>
            <c:numRef>
              <c:f>'MRI exams'!$B$57:$M$57</c:f>
              <c:numCache>
                <c:formatCode>General</c:formatCode>
                <c:ptCount val="12"/>
                <c:pt idx="2" formatCode="0.0">
                  <c:v>22.1</c:v>
                </c:pt>
                <c:pt idx="3" formatCode="0.0">
                  <c:v>35.300000000000004</c:v>
                </c:pt>
                <c:pt idx="4" formatCode="0.0">
                  <c:v>54.2</c:v>
                </c:pt>
                <c:pt idx="5" formatCode="0.0">
                  <c:v>55.2</c:v>
                </c:pt>
                <c:pt idx="6" formatCode="0.0">
                  <c:v>58.5</c:v>
                </c:pt>
                <c:pt idx="7" formatCode="0.0">
                  <c:v>60</c:v>
                </c:pt>
                <c:pt idx="8" formatCode="0.0">
                  <c:v>64.599999999999994</c:v>
                </c:pt>
                <c:pt idx="9" formatCode="0.0">
                  <c:v>75.2</c:v>
                </c:pt>
                <c:pt idx="10" formatCode="0.0">
                  <c:v>79.599999999999994</c:v>
                </c:pt>
              </c:numCache>
            </c:numRef>
          </c:val>
          <c:smooth val="0"/>
        </c:ser>
        <c:ser>
          <c:idx val="5"/>
          <c:order val="5"/>
          <c:tx>
            <c:strRef>
              <c:f>'MRI exams'!$A$58</c:f>
              <c:strCache>
                <c:ptCount val="1"/>
                <c:pt idx="0">
                  <c:v>Belgique</c:v>
                </c:pt>
              </c:strCache>
            </c:strRef>
          </c:tx>
          <c:spPr>
            <a:ln w="25400">
              <a:solidFill>
                <a:schemeClr val="bg1">
                  <a:lumMod val="50000"/>
                </a:schemeClr>
              </a:solidFill>
            </a:ln>
          </c:spPr>
          <c:marker>
            <c:symbol val="none"/>
          </c:marker>
          <c:dLbls>
            <c:dLbl>
              <c:idx val="2"/>
              <c:layout>
                <c:manualLayout>
                  <c:x val="-0.15028240740740909"/>
                  <c:y val="-4.7836111111111648E-2"/>
                </c:manualLayout>
              </c:layout>
              <c:tx>
                <c:rich>
                  <a:bodyPr/>
                  <a:lstStyle/>
                  <a:p>
                    <a:pPr>
                      <a:defRPr sz="850" b="0"/>
                    </a:pPr>
                    <a:r>
                      <a:rPr lang="en-US" sz="850" b="0"/>
                      <a:t>Belgique</a:t>
                    </a:r>
                  </a:p>
                </c:rich>
              </c:tx>
              <c:spPr/>
              <c:showLegendKey val="0"/>
              <c:showVal val="1"/>
              <c:showCatName val="0"/>
              <c:showSerName val="0"/>
              <c:showPercent val="0"/>
              <c:showBubbleSize val="0"/>
            </c:dLbl>
            <c:txPr>
              <a:bodyPr/>
              <a:lstStyle/>
              <a:p>
                <a:pPr>
                  <a:defRPr b="1"/>
                </a:pPr>
                <a:endParaRPr lang="fr-FR"/>
              </a:p>
            </c:txPr>
            <c:showLegendKey val="0"/>
            <c:showVal val="0"/>
            <c:showCatName val="0"/>
            <c:showSerName val="0"/>
            <c:showPercent val="0"/>
            <c:showBubbleSize val="0"/>
          </c:dLbls>
          <c:cat>
            <c:strRef>
              <c:f>'MRI exams'!$B$52:$M$52</c:f>
              <c:strCache>
                <c:ptCount val="12"/>
                <c:pt idx="0">
                  <c:v>00</c:v>
                </c:pt>
                <c:pt idx="1">
                  <c:v>01</c:v>
                </c:pt>
                <c:pt idx="2">
                  <c:v>02</c:v>
                </c:pt>
                <c:pt idx="3">
                  <c:v>03</c:v>
                </c:pt>
                <c:pt idx="4">
                  <c:v>04</c:v>
                </c:pt>
                <c:pt idx="5">
                  <c:v>05</c:v>
                </c:pt>
                <c:pt idx="6">
                  <c:v>06</c:v>
                </c:pt>
                <c:pt idx="7">
                  <c:v>07</c:v>
                </c:pt>
                <c:pt idx="8">
                  <c:v>08</c:v>
                </c:pt>
                <c:pt idx="9">
                  <c:v>09</c:v>
                </c:pt>
                <c:pt idx="10">
                  <c:v>10</c:v>
                </c:pt>
                <c:pt idx="11">
                  <c:v>11</c:v>
                </c:pt>
              </c:strCache>
            </c:strRef>
          </c:cat>
          <c:val>
            <c:numRef>
              <c:f>'MRI exams'!$B$58:$M$58</c:f>
              <c:numCache>
                <c:formatCode>0.0</c:formatCode>
                <c:ptCount val="12"/>
                <c:pt idx="0">
                  <c:v>21.5</c:v>
                </c:pt>
                <c:pt idx="1">
                  <c:v>31.9</c:v>
                </c:pt>
                <c:pt idx="2">
                  <c:v>35.4</c:v>
                </c:pt>
                <c:pt idx="3">
                  <c:v>39.6</c:v>
                </c:pt>
                <c:pt idx="4">
                  <c:v>43</c:v>
                </c:pt>
                <c:pt idx="5">
                  <c:v>43.9</c:v>
                </c:pt>
                <c:pt idx="6">
                  <c:v>46</c:v>
                </c:pt>
                <c:pt idx="7">
                  <c:v>48</c:v>
                </c:pt>
                <c:pt idx="8">
                  <c:v>52.8</c:v>
                </c:pt>
              </c:numCache>
            </c:numRef>
          </c:val>
          <c:smooth val="0"/>
        </c:ser>
        <c:dLbls>
          <c:showLegendKey val="0"/>
          <c:showVal val="0"/>
          <c:showCatName val="0"/>
          <c:showSerName val="0"/>
          <c:showPercent val="0"/>
          <c:showBubbleSize val="0"/>
        </c:dLbls>
        <c:marker val="1"/>
        <c:smooth val="0"/>
        <c:axId val="85759872"/>
        <c:axId val="85761408"/>
      </c:lineChart>
      <c:catAx>
        <c:axId val="85759872"/>
        <c:scaling>
          <c:orientation val="minMax"/>
        </c:scaling>
        <c:delete val="0"/>
        <c:axPos val="b"/>
        <c:majorTickMark val="out"/>
        <c:minorTickMark val="none"/>
        <c:tickLblPos val="nextTo"/>
        <c:spPr>
          <a:ln>
            <a:solidFill>
              <a:schemeClr val="tx1">
                <a:lumMod val="85000"/>
                <a:lumOff val="15000"/>
              </a:schemeClr>
            </a:solidFill>
          </a:ln>
        </c:spPr>
        <c:txPr>
          <a:bodyPr/>
          <a:lstStyle/>
          <a:p>
            <a:pPr>
              <a:defRPr sz="900">
                <a:solidFill>
                  <a:schemeClr val="tx1">
                    <a:lumMod val="85000"/>
                    <a:lumOff val="15000"/>
                  </a:schemeClr>
                </a:solidFill>
              </a:defRPr>
            </a:pPr>
            <a:endParaRPr lang="fr-FR"/>
          </a:p>
        </c:txPr>
        <c:crossAx val="85761408"/>
        <c:crosses val="autoZero"/>
        <c:auto val="1"/>
        <c:lblAlgn val="ctr"/>
        <c:lblOffset val="100"/>
        <c:noMultiLvlLbl val="0"/>
      </c:catAx>
      <c:valAx>
        <c:axId val="85761408"/>
        <c:scaling>
          <c:orientation val="minMax"/>
          <c:max val="100"/>
        </c:scaling>
        <c:delete val="0"/>
        <c:axPos val="l"/>
        <c:majorGridlines>
          <c:spPr>
            <a:ln>
              <a:solidFill>
                <a:sysClr val="window" lastClr="FFFFFF">
                  <a:lumMod val="85000"/>
                </a:sysClr>
              </a:solidFill>
            </a:ln>
          </c:spPr>
        </c:majorGridlines>
        <c:numFmt formatCode="0" sourceLinked="0"/>
        <c:majorTickMark val="out"/>
        <c:minorTickMark val="none"/>
        <c:tickLblPos val="nextTo"/>
        <c:spPr>
          <a:ln>
            <a:noFill/>
          </a:ln>
        </c:spPr>
        <c:txPr>
          <a:bodyPr/>
          <a:lstStyle/>
          <a:p>
            <a:pPr>
              <a:defRPr sz="900">
                <a:solidFill>
                  <a:schemeClr val="tx1">
                    <a:lumMod val="85000"/>
                    <a:lumOff val="15000"/>
                  </a:schemeClr>
                </a:solidFill>
              </a:defRPr>
            </a:pPr>
            <a:endParaRPr lang="fr-FR"/>
          </a:p>
        </c:txPr>
        <c:crossAx val="85759872"/>
        <c:crosses val="autoZero"/>
        <c:crossBetween val="midCat"/>
      </c:valAx>
      <c:spPr>
        <a:ln>
          <a:solidFill>
            <a:schemeClr val="bg1">
              <a:lumMod val="85000"/>
            </a:schemeClr>
          </a:solidFill>
        </a:ln>
      </c:spPr>
    </c:plotArea>
    <c:plotVisOnly val="1"/>
    <c:dispBlanksAs val="gap"/>
    <c:showDLblsOverMax val="0"/>
  </c:chart>
  <c:spPr>
    <a:ln>
      <a:noFill/>
    </a:ln>
  </c:spPr>
  <c:txPr>
    <a:bodyPr/>
    <a:lstStyle/>
    <a:p>
      <a:pPr>
        <a:defRPr>
          <a:solidFill>
            <a:schemeClr val="tx1">
              <a:lumMod val="85000"/>
              <a:lumOff val="15000"/>
            </a:schemeClr>
          </a:solidFill>
        </a:defRPr>
      </a:pPr>
      <a:endParaRPr lang="fr-FR"/>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49394429469901"/>
          <c:y val="5.9139784946237076E-2"/>
          <c:w val="0.77224740341420128"/>
          <c:h val="0.77320802641605546"/>
        </c:manualLayout>
      </c:layout>
      <c:scatterChart>
        <c:scatterStyle val="lineMarker"/>
        <c:varyColors val="0"/>
        <c:ser>
          <c:idx val="0"/>
          <c:order val="0"/>
          <c:spPr>
            <a:ln w="28575">
              <a:noFill/>
            </a:ln>
          </c:spPr>
          <c:marker>
            <c:symbol val="circle"/>
            <c:size val="7"/>
            <c:spPr>
              <a:solidFill>
                <a:schemeClr val="accent1">
                  <a:lumMod val="40000"/>
                  <a:lumOff val="60000"/>
                </a:schemeClr>
              </a:solidFill>
              <a:ln>
                <a:solidFill>
                  <a:schemeClr val="tx2">
                    <a:lumMod val="75000"/>
                  </a:schemeClr>
                </a:solidFill>
              </a:ln>
            </c:spPr>
          </c:marker>
          <c:dPt>
            <c:idx val="9"/>
            <c:marker>
              <c:spPr>
                <a:solidFill>
                  <a:schemeClr val="accent1">
                    <a:lumMod val="75000"/>
                  </a:schemeClr>
                </a:solidFill>
                <a:ln>
                  <a:solidFill>
                    <a:schemeClr val="tx2">
                      <a:lumMod val="75000"/>
                    </a:schemeClr>
                  </a:solidFill>
                </a:ln>
              </c:spPr>
            </c:marker>
            <c:bubble3D val="0"/>
          </c:dPt>
          <c:dLbls>
            <c:dLbl>
              <c:idx val="9"/>
              <c:layout>
                <c:manualLayout>
                  <c:x val="-0.10589038634321662"/>
                  <c:y val="-5.9139784946237076E-2"/>
                </c:manualLayout>
              </c:layout>
              <c:tx>
                <c:rich>
                  <a:bodyPr/>
                  <a:lstStyle/>
                  <a:p>
                    <a:r>
                      <a:rPr lang="en-US"/>
                      <a:t>France</a:t>
                    </a:r>
                  </a:p>
                </c:rich>
              </c:tx>
              <c:showLegendKey val="0"/>
              <c:showVal val="1"/>
              <c:showCatName val="0"/>
              <c:showSerName val="0"/>
              <c:showPercent val="0"/>
              <c:showBubbleSize val="0"/>
            </c:dLbl>
            <c:dLbl>
              <c:idx val="19"/>
              <c:layout>
                <c:manualLayout>
                  <c:x val="-6.2073674752920409E-2"/>
                  <c:y val="-5.3763440860215353E-2"/>
                </c:manualLayout>
              </c:layout>
              <c:tx>
                <c:rich>
                  <a:bodyPr/>
                  <a:lstStyle/>
                  <a:p>
                    <a:r>
                      <a:rPr lang="en-US" sz="900"/>
                      <a:t>L</a:t>
                    </a:r>
                    <a:r>
                      <a:rPr lang="en-US"/>
                      <a:t>uxembourg</a:t>
                    </a:r>
                  </a:p>
                </c:rich>
              </c:tx>
              <c:showLegendKey val="0"/>
              <c:showVal val="1"/>
              <c:showCatName val="0"/>
              <c:showSerName val="0"/>
              <c:showPercent val="0"/>
              <c:showBubbleSize val="0"/>
            </c:dLbl>
            <c:dLbl>
              <c:idx val="33"/>
              <c:tx>
                <c:rich>
                  <a:bodyPr/>
                  <a:lstStyle/>
                  <a:p>
                    <a:r>
                      <a:rPr lang="en-US" sz="900"/>
                      <a:t>E</a:t>
                    </a:r>
                    <a:r>
                      <a:rPr lang="en-US"/>
                      <a:t>tats-Unis</a:t>
                    </a:r>
                  </a:p>
                </c:rich>
              </c:tx>
              <c:showLegendKey val="0"/>
              <c:showVal val="1"/>
              <c:showCatName val="0"/>
              <c:showSerName val="0"/>
              <c:showPercent val="0"/>
              <c:showBubbleSize val="0"/>
            </c:dLbl>
            <c:showLegendKey val="0"/>
            <c:showVal val="0"/>
            <c:showCatName val="0"/>
            <c:showSerName val="0"/>
            <c:showPercent val="0"/>
            <c:showBubbleSize val="0"/>
          </c:dLbls>
          <c:xVal>
            <c:numRef>
              <c:f>'graph B_encadré'!$D$51:$D$84</c:f>
              <c:numCache>
                <c:formatCode>General</c:formatCode>
                <c:ptCount val="34"/>
                <c:pt idx="0">
                  <c:v>39904.356390347348</c:v>
                </c:pt>
                <c:pt idx="1">
                  <c:v>39026.440601495968</c:v>
                </c:pt>
                <c:pt idx="2">
                  <c:v>36742.577176619154</c:v>
                </c:pt>
                <c:pt idx="3">
                  <c:v>37842.294459769575</c:v>
                </c:pt>
                <c:pt idx="4">
                  <c:v>15201.376987506987</c:v>
                </c:pt>
                <c:pt idx="5">
                  <c:v>25616.942178367201</c:v>
                </c:pt>
                <c:pt idx="6">
                  <c:v>38303.088748067988</c:v>
                </c:pt>
                <c:pt idx="7">
                  <c:v>19679.35160739025</c:v>
                </c:pt>
                <c:pt idx="8">
                  <c:v>35655.295597914075</c:v>
                </c:pt>
                <c:pt idx="9">
                  <c:v>33676.014576097317</c:v>
                </c:pt>
                <c:pt idx="10">
                  <c:v>36051.640721576274</c:v>
                </c:pt>
                <c:pt idx="11">
                  <c:v>29384.290630660889</c:v>
                </c:pt>
                <c:pt idx="12">
                  <c:v>20156.548966367296</c:v>
                </c:pt>
                <c:pt idx="13">
                  <c:v>36721.496493547951</c:v>
                </c:pt>
                <c:pt idx="14">
                  <c:v>39754.478728052949</c:v>
                </c:pt>
                <c:pt idx="15">
                  <c:v>25479.239362517816</c:v>
                </c:pt>
                <c:pt idx="16">
                  <c:v>32250.026589456462</c:v>
                </c:pt>
                <c:pt idx="17">
                  <c:v>32119.374507985242</c:v>
                </c:pt>
                <c:pt idx="18">
                  <c:v>26930.55066509244</c:v>
                </c:pt>
                <c:pt idx="19">
                  <c:v>82981.397737782143</c:v>
                </c:pt>
                <c:pt idx="20">
                  <c:v>14342.821515981581</c:v>
                </c:pt>
                <c:pt idx="21">
                  <c:v>41243.950225186418</c:v>
                </c:pt>
                <c:pt idx="22">
                  <c:v>29386.158607170892</c:v>
                </c:pt>
                <c:pt idx="23">
                  <c:v>54713.313995814067</c:v>
                </c:pt>
                <c:pt idx="24">
                  <c:v>18926.417801916439</c:v>
                </c:pt>
                <c:pt idx="25">
                  <c:v>24937.986203997501</c:v>
                </c:pt>
                <c:pt idx="26">
                  <c:v>22583.123647333072</c:v>
                </c:pt>
                <c:pt idx="27">
                  <c:v>27341.578702436342</c:v>
                </c:pt>
                <c:pt idx="28">
                  <c:v>32156.797080721939</c:v>
                </c:pt>
                <c:pt idx="29">
                  <c:v>37339.417783183264</c:v>
                </c:pt>
                <c:pt idx="30">
                  <c:v>46342.795715884189</c:v>
                </c:pt>
                <c:pt idx="31">
                  <c:v>14412.751027967783</c:v>
                </c:pt>
                <c:pt idx="32">
                  <c:v>34685.004377290643</c:v>
                </c:pt>
                <c:pt idx="33">
                  <c:v>45235.971878661585</c:v>
                </c:pt>
              </c:numCache>
            </c:numRef>
          </c:xVal>
          <c:yVal>
            <c:numRef>
              <c:f>'graph B_encadré'!$E$51:$E$84</c:f>
              <c:numCache>
                <c:formatCode>0.00</c:formatCode>
                <c:ptCount val="34"/>
                <c:pt idx="0">
                  <c:v>8.7031000000000009</c:v>
                </c:pt>
                <c:pt idx="1">
                  <c:v>10.4031</c:v>
                </c:pt>
                <c:pt idx="2">
                  <c:v>10.546299999999999</c:v>
                </c:pt>
                <c:pt idx="3">
                  <c:v>10.763200000000001</c:v>
                </c:pt>
                <c:pt idx="5">
                  <c:v>7.2716000000000198</c:v>
                </c:pt>
                <c:pt idx="6">
                  <c:v>10.708399999999999</c:v>
                </c:pt>
                <c:pt idx="8">
                  <c:v>8.4782000000000011</c:v>
                </c:pt>
                <c:pt idx="9">
                  <c:v>11.233600000000001</c:v>
                </c:pt>
                <c:pt idx="10">
                  <c:v>11.193900000000001</c:v>
                </c:pt>
                <c:pt idx="11">
                  <c:v>9.4640000000000004</c:v>
                </c:pt>
                <c:pt idx="12">
                  <c:v>7.5651999999999955</c:v>
                </c:pt>
                <c:pt idx="13">
                  <c:v>9.2851000000000035</c:v>
                </c:pt>
                <c:pt idx="14">
                  <c:v>8.8688000000000002</c:v>
                </c:pt>
                <c:pt idx="15">
                  <c:v>7.6509999999999945</c:v>
                </c:pt>
                <c:pt idx="16">
                  <c:v>8.9417000000000009</c:v>
                </c:pt>
                <c:pt idx="17">
                  <c:v>9.2885000000000009</c:v>
                </c:pt>
                <c:pt idx="18">
                  <c:v>6.7094000000000014</c:v>
                </c:pt>
                <c:pt idx="19">
                  <c:v>7.9100999999999999</c:v>
                </c:pt>
                <c:pt idx="20">
                  <c:v>6.1440999999999955</c:v>
                </c:pt>
                <c:pt idx="21">
                  <c:v>11.2095</c:v>
                </c:pt>
                <c:pt idx="22">
                  <c:v>10.075900000000004</c:v>
                </c:pt>
                <c:pt idx="23">
                  <c:v>9.0655000000000268</c:v>
                </c:pt>
                <c:pt idx="24">
                  <c:v>6.5095999999999998</c:v>
                </c:pt>
                <c:pt idx="25">
                  <c:v>10.155000000000006</c:v>
                </c:pt>
                <c:pt idx="26">
                  <c:v>8.5024000000000068</c:v>
                </c:pt>
                <c:pt idx="27">
                  <c:v>8.6418000000000017</c:v>
                </c:pt>
                <c:pt idx="28">
                  <c:v>9.2984000000000009</c:v>
                </c:pt>
                <c:pt idx="29">
                  <c:v>9.0552000000000028</c:v>
                </c:pt>
                <c:pt idx="30">
                  <c:v>11.355400000000062</c:v>
                </c:pt>
                <c:pt idx="31">
                  <c:v>5.5042</c:v>
                </c:pt>
                <c:pt idx="32">
                  <c:v>9.1151</c:v>
                </c:pt>
                <c:pt idx="33">
                  <c:v>16.920999999999989</c:v>
                </c:pt>
              </c:numCache>
            </c:numRef>
          </c:yVal>
          <c:smooth val="0"/>
        </c:ser>
        <c:dLbls>
          <c:showLegendKey val="0"/>
          <c:showVal val="0"/>
          <c:showCatName val="0"/>
          <c:showSerName val="0"/>
          <c:showPercent val="0"/>
          <c:showBubbleSize val="0"/>
        </c:dLbls>
        <c:axId val="125240448"/>
        <c:axId val="125242752"/>
      </c:scatterChart>
      <c:valAx>
        <c:axId val="125240448"/>
        <c:scaling>
          <c:orientation val="minMax"/>
          <c:max val="90000"/>
          <c:min val="0"/>
        </c:scaling>
        <c:delete val="0"/>
        <c:axPos val="b"/>
        <c:majorGridlines>
          <c:spPr>
            <a:ln>
              <a:solidFill>
                <a:sysClr val="window" lastClr="FFFFFF">
                  <a:lumMod val="85000"/>
                </a:sysClr>
              </a:solidFill>
            </a:ln>
          </c:spPr>
        </c:majorGridlines>
        <c:title>
          <c:tx>
            <c:rich>
              <a:bodyPr/>
              <a:lstStyle/>
              <a:p>
                <a:pPr>
                  <a:defRPr/>
                </a:pPr>
                <a:r>
                  <a:rPr lang="fr-FR"/>
                  <a:t>PIB par habitant (en</a:t>
                </a:r>
                <a:r>
                  <a:rPr lang="fr-FR" baseline="0"/>
                  <a:t> milliers de US$ PPA)</a:t>
                </a:r>
                <a:endParaRPr lang="fr-FR"/>
              </a:p>
            </c:rich>
          </c:tx>
          <c:layout>
            <c:manualLayout>
              <c:xMode val="edge"/>
              <c:yMode val="edge"/>
              <c:x val="0.26024625336927232"/>
              <c:y val="0.92481161628990283"/>
            </c:manualLayout>
          </c:layout>
          <c:overlay val="0"/>
        </c:title>
        <c:numFmt formatCode="#,##0" sourceLinked="0"/>
        <c:majorTickMark val="none"/>
        <c:minorTickMark val="none"/>
        <c:tickLblPos val="nextTo"/>
        <c:spPr>
          <a:ln>
            <a:solidFill>
              <a:schemeClr val="tx1">
                <a:lumMod val="85000"/>
                <a:lumOff val="15000"/>
              </a:schemeClr>
            </a:solidFill>
          </a:ln>
        </c:spPr>
        <c:crossAx val="125242752"/>
        <c:crossesAt val="4"/>
        <c:crossBetween val="midCat"/>
        <c:dispUnits>
          <c:builtInUnit val="thousands"/>
        </c:dispUnits>
      </c:valAx>
      <c:valAx>
        <c:axId val="125242752"/>
        <c:scaling>
          <c:orientation val="minMax"/>
          <c:min val="4"/>
        </c:scaling>
        <c:delete val="0"/>
        <c:axPos val="l"/>
        <c:majorGridlines>
          <c:spPr>
            <a:ln>
              <a:solidFill>
                <a:sysClr val="window" lastClr="FFFFFF">
                  <a:lumMod val="85000"/>
                </a:sysClr>
              </a:solidFill>
            </a:ln>
          </c:spPr>
        </c:majorGridlines>
        <c:title>
          <c:tx>
            <c:rich>
              <a:bodyPr rot="-5400000" vert="horz"/>
              <a:lstStyle/>
              <a:p>
                <a:pPr>
                  <a:defRPr/>
                </a:pPr>
                <a:r>
                  <a:rPr lang="fr-FR"/>
                  <a:t>Dépense</a:t>
                </a:r>
                <a:r>
                  <a:rPr lang="fr-FR" baseline="0"/>
                  <a:t> courante de santé</a:t>
                </a:r>
              </a:p>
              <a:p>
                <a:pPr>
                  <a:defRPr/>
                </a:pPr>
                <a:r>
                  <a:rPr lang="fr-FR" baseline="0"/>
                  <a:t> (en % du PIB)</a:t>
                </a:r>
                <a:endParaRPr lang="fr-FR"/>
              </a:p>
            </c:rich>
          </c:tx>
          <c:layout>
            <c:manualLayout>
              <c:xMode val="edge"/>
              <c:yMode val="edge"/>
              <c:x val="0"/>
              <c:y val="0.15327956989247413"/>
            </c:manualLayout>
          </c:layout>
          <c:overlay val="0"/>
        </c:title>
        <c:numFmt formatCode="0" sourceLinked="0"/>
        <c:majorTickMark val="none"/>
        <c:minorTickMark val="none"/>
        <c:tickLblPos val="nextTo"/>
        <c:spPr>
          <a:ln>
            <a:solidFill>
              <a:schemeClr val="tx1">
                <a:lumMod val="85000"/>
                <a:lumOff val="15000"/>
              </a:schemeClr>
            </a:solidFill>
          </a:ln>
        </c:spPr>
        <c:crossAx val="125240448"/>
        <c:crosses val="autoZero"/>
        <c:crossBetween val="midCat"/>
      </c:valAx>
      <c:spPr>
        <a:ln>
          <a:solidFill>
            <a:schemeClr val="bg1">
              <a:lumMod val="85000"/>
            </a:schemeClr>
          </a:solidFill>
        </a:ln>
      </c:spPr>
    </c:plotArea>
    <c:plotVisOnly val="1"/>
    <c:dispBlanksAs val="gap"/>
    <c:showDLblsOverMax val="0"/>
  </c:chart>
  <c:spPr>
    <a:ln>
      <a:noFill/>
    </a:ln>
  </c:spPr>
  <c:txPr>
    <a:bodyPr/>
    <a:lstStyle/>
    <a:p>
      <a:pPr>
        <a:defRPr sz="900" b="0">
          <a:solidFill>
            <a:schemeClr val="tx1">
              <a:lumMod val="85000"/>
              <a:lumOff val="15000"/>
            </a:schemeClr>
          </a:solidFill>
        </a:defRPr>
      </a:pPr>
      <a:endParaRPr lang="fr-FR"/>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0866819066971483E-2"/>
          <c:y val="2.5262429588851536E-2"/>
          <c:w val="0.92726575319817917"/>
          <c:h val="0.6770828646419198"/>
        </c:manualLayout>
      </c:layout>
      <c:barChart>
        <c:barDir val="col"/>
        <c:grouping val="clustered"/>
        <c:varyColors val="0"/>
        <c:ser>
          <c:idx val="2"/>
          <c:order val="2"/>
          <c:tx>
            <c:strRef>
              <c:f>Data!$F$6</c:f>
              <c:strCache>
                <c:ptCount val="1"/>
                <c:pt idx="0">
                  <c:v>   2009</c:v>
                </c:pt>
              </c:strCache>
            </c:strRef>
          </c:tx>
          <c:spPr>
            <a:solidFill>
              <a:schemeClr val="bg1">
                <a:lumMod val="75000"/>
              </a:schemeClr>
            </a:solidFill>
            <a:ln>
              <a:noFill/>
            </a:ln>
          </c:spPr>
          <c:invertIfNegative val="0"/>
          <c:dPt>
            <c:idx val="5"/>
            <c:invertIfNegative val="0"/>
            <c:bubble3D val="0"/>
            <c:spPr>
              <a:solidFill>
                <a:srgbClr val="7A003C"/>
              </a:solidFill>
              <a:ln>
                <a:noFill/>
              </a:ln>
            </c:spPr>
          </c:dPt>
          <c:dPt>
            <c:idx val="18"/>
            <c:invertIfNegative val="0"/>
            <c:bubble3D val="0"/>
            <c:spPr>
              <a:solidFill>
                <a:schemeClr val="bg1">
                  <a:lumMod val="50000"/>
                </a:schemeClr>
              </a:solidFill>
              <a:ln>
                <a:noFill/>
              </a:ln>
            </c:spPr>
          </c:dPt>
          <c:cat>
            <c:strRef>
              <c:f>Data!$A$7:$A$35</c:f>
              <c:strCache>
                <c:ptCount val="29"/>
                <c:pt idx="0">
                  <c:v>Corée*</c:v>
                </c:pt>
                <c:pt idx="1">
                  <c:v>Japon*</c:v>
                </c:pt>
                <c:pt idx="2">
                  <c:v>Suisse</c:v>
                </c:pt>
                <c:pt idx="3">
                  <c:v>Norvège</c:v>
                </c:pt>
                <c:pt idx="4">
                  <c:v>Italie</c:v>
                </c:pt>
                <c:pt idx="5">
                  <c:v>France</c:v>
                </c:pt>
                <c:pt idx="6">
                  <c:v>Suède</c:v>
                </c:pt>
                <c:pt idx="7">
                  <c:v>Pays-Bas</c:v>
                </c:pt>
                <c:pt idx="8">
                  <c:v>Autriche</c:v>
                </c:pt>
                <c:pt idx="9">
                  <c:v>Danemark</c:v>
                </c:pt>
                <c:pt idx="10">
                  <c:v>Belgique</c:v>
                </c:pt>
                <c:pt idx="11">
                  <c:v>Israel</c:v>
                </c:pt>
                <c:pt idx="12">
                  <c:v>Allemagne</c:v>
                </c:pt>
                <c:pt idx="13">
                  <c:v>Finlande</c:v>
                </c:pt>
                <c:pt idx="14">
                  <c:v>Irelande</c:v>
                </c:pt>
                <c:pt idx="15">
                  <c:v>Portugal </c:v>
                </c:pt>
                <c:pt idx="16">
                  <c:v>Espagne</c:v>
                </c:pt>
                <c:pt idx="17">
                  <c:v>Canada</c:v>
                </c:pt>
                <c:pt idx="18">
                  <c:v>OECD (15)**</c:v>
                </c:pt>
                <c:pt idx="19">
                  <c:v>Rep. Tchèque</c:v>
                </c:pt>
                <c:pt idx="20">
                  <c:v>Hongrie</c:v>
                </c:pt>
                <c:pt idx="21">
                  <c:v>Islande</c:v>
                </c:pt>
                <c:pt idx="22">
                  <c:v>Luxembourg*</c:v>
                </c:pt>
                <c:pt idx="23">
                  <c:v>Royaume-Uni*</c:v>
                </c:pt>
                <c:pt idx="24">
                  <c:v>Australie*</c:v>
                </c:pt>
                <c:pt idx="25">
                  <c:v>Chilie*</c:v>
                </c:pt>
                <c:pt idx="26">
                  <c:v>Nlle Zélande*</c:v>
                </c:pt>
                <c:pt idx="27">
                  <c:v>Mexique*</c:v>
                </c:pt>
                <c:pt idx="28">
                  <c:v>Etats-Unis*</c:v>
                </c:pt>
              </c:strCache>
            </c:strRef>
          </c:cat>
          <c:val>
            <c:numRef>
              <c:f>Data!$F$7:$F$35</c:f>
              <c:numCache>
                <c:formatCode>General</c:formatCode>
                <c:ptCount val="29"/>
                <c:pt idx="0">
                  <c:v>3.8</c:v>
                </c:pt>
                <c:pt idx="1">
                  <c:v>3.9</c:v>
                </c:pt>
                <c:pt idx="2">
                  <c:v>8.1</c:v>
                </c:pt>
                <c:pt idx="3">
                  <c:v>10</c:v>
                </c:pt>
                <c:pt idx="4">
                  <c:v>10.3</c:v>
                </c:pt>
                <c:pt idx="5">
                  <c:v>11.2</c:v>
                </c:pt>
                <c:pt idx="6">
                  <c:v>11.2</c:v>
                </c:pt>
                <c:pt idx="7">
                  <c:v>11.8</c:v>
                </c:pt>
                <c:pt idx="8">
                  <c:v>12.4</c:v>
                </c:pt>
                <c:pt idx="9">
                  <c:v>13.4</c:v>
                </c:pt>
                <c:pt idx="10">
                  <c:v>13.8</c:v>
                </c:pt>
                <c:pt idx="11">
                  <c:v>13.8</c:v>
                </c:pt>
                <c:pt idx="12">
                  <c:v>14.7</c:v>
                </c:pt>
                <c:pt idx="13">
                  <c:v>14.9</c:v>
                </c:pt>
                <c:pt idx="14" formatCode="0.0">
                  <c:v>15</c:v>
                </c:pt>
                <c:pt idx="15">
                  <c:v>15.4</c:v>
                </c:pt>
                <c:pt idx="16">
                  <c:v>16</c:v>
                </c:pt>
                <c:pt idx="17">
                  <c:v>16.5</c:v>
                </c:pt>
                <c:pt idx="18" formatCode="0.0">
                  <c:v>16.553333333333136</c:v>
                </c:pt>
                <c:pt idx="19">
                  <c:v>17.399999999999999</c:v>
                </c:pt>
                <c:pt idx="20">
                  <c:v>19.5</c:v>
                </c:pt>
                <c:pt idx="21">
                  <c:v>20.100000000000001</c:v>
                </c:pt>
                <c:pt idx="22">
                  <c:v>22.1</c:v>
                </c:pt>
                <c:pt idx="23" formatCode="0.0">
                  <c:v>23</c:v>
                </c:pt>
                <c:pt idx="24">
                  <c:v>24.6</c:v>
                </c:pt>
                <c:pt idx="25">
                  <c:v>25.1</c:v>
                </c:pt>
                <c:pt idx="26">
                  <c:v>26.5</c:v>
                </c:pt>
                <c:pt idx="27" formatCode="0.0">
                  <c:v>30</c:v>
                </c:pt>
                <c:pt idx="28">
                  <c:v>33.800000000000004</c:v>
                </c:pt>
              </c:numCache>
            </c:numRef>
          </c:val>
        </c:ser>
        <c:dLbls>
          <c:showLegendKey val="0"/>
          <c:showVal val="0"/>
          <c:showCatName val="0"/>
          <c:showSerName val="0"/>
          <c:showPercent val="0"/>
          <c:showBubbleSize val="0"/>
        </c:dLbls>
        <c:gapWidth val="39"/>
        <c:overlap val="29"/>
        <c:axId val="125635584"/>
        <c:axId val="125645952"/>
      </c:barChart>
      <c:lineChart>
        <c:grouping val="standard"/>
        <c:varyColors val="0"/>
        <c:ser>
          <c:idx val="0"/>
          <c:order val="0"/>
          <c:tx>
            <c:strRef>
              <c:f>Data!$B$6</c:f>
              <c:strCache>
                <c:ptCount val="1"/>
                <c:pt idx="0">
                  <c:v>   1990</c:v>
                </c:pt>
              </c:strCache>
            </c:strRef>
          </c:tx>
          <c:spPr>
            <a:ln>
              <a:noFill/>
            </a:ln>
          </c:spPr>
          <c:marker>
            <c:symbol val="triangle"/>
            <c:size val="6"/>
            <c:spPr>
              <a:solidFill>
                <a:schemeClr val="bg1">
                  <a:lumMod val="95000"/>
                </a:schemeClr>
              </a:solidFill>
              <a:ln>
                <a:solidFill>
                  <a:schemeClr val="tx1">
                    <a:lumMod val="75000"/>
                    <a:lumOff val="25000"/>
                  </a:schemeClr>
                </a:solidFill>
              </a:ln>
            </c:spPr>
          </c:marker>
          <c:cat>
            <c:strRef>
              <c:f>Data!$A$7:$A$35</c:f>
              <c:strCache>
                <c:ptCount val="29"/>
                <c:pt idx="0">
                  <c:v>Corée*</c:v>
                </c:pt>
                <c:pt idx="1">
                  <c:v>Japon*</c:v>
                </c:pt>
                <c:pt idx="2">
                  <c:v>Suisse</c:v>
                </c:pt>
                <c:pt idx="3">
                  <c:v>Norvège</c:v>
                </c:pt>
                <c:pt idx="4">
                  <c:v>Italie</c:v>
                </c:pt>
                <c:pt idx="5">
                  <c:v>France</c:v>
                </c:pt>
                <c:pt idx="6">
                  <c:v>Suède</c:v>
                </c:pt>
                <c:pt idx="7">
                  <c:v>Pays-Bas</c:v>
                </c:pt>
                <c:pt idx="8">
                  <c:v>Autriche</c:v>
                </c:pt>
                <c:pt idx="9">
                  <c:v>Danemark</c:v>
                </c:pt>
                <c:pt idx="10">
                  <c:v>Belgique</c:v>
                </c:pt>
                <c:pt idx="11">
                  <c:v>Israel</c:v>
                </c:pt>
                <c:pt idx="12">
                  <c:v>Allemagne</c:v>
                </c:pt>
                <c:pt idx="13">
                  <c:v>Finlande</c:v>
                </c:pt>
                <c:pt idx="14">
                  <c:v>Irelande</c:v>
                </c:pt>
                <c:pt idx="15">
                  <c:v>Portugal </c:v>
                </c:pt>
                <c:pt idx="16">
                  <c:v>Espagne</c:v>
                </c:pt>
                <c:pt idx="17">
                  <c:v>Canada</c:v>
                </c:pt>
                <c:pt idx="18">
                  <c:v>OECD (15)**</c:v>
                </c:pt>
                <c:pt idx="19">
                  <c:v>Rep. Tchèque</c:v>
                </c:pt>
                <c:pt idx="20">
                  <c:v>Hongrie</c:v>
                </c:pt>
                <c:pt idx="21">
                  <c:v>Islande</c:v>
                </c:pt>
                <c:pt idx="22">
                  <c:v>Luxembourg*</c:v>
                </c:pt>
                <c:pt idx="23">
                  <c:v>Royaume-Uni*</c:v>
                </c:pt>
                <c:pt idx="24">
                  <c:v>Australie*</c:v>
                </c:pt>
                <c:pt idx="25">
                  <c:v>Chilie*</c:v>
                </c:pt>
                <c:pt idx="26">
                  <c:v>Nlle Zélande*</c:v>
                </c:pt>
                <c:pt idx="27">
                  <c:v>Mexique*</c:v>
                </c:pt>
                <c:pt idx="28">
                  <c:v>Etats-Unis*</c:v>
                </c:pt>
              </c:strCache>
            </c:strRef>
          </c:cat>
          <c:val>
            <c:numRef>
              <c:f>Data!$B$7:$B$35</c:f>
              <c:numCache>
                <c:formatCode>0.0</c:formatCode>
                <c:ptCount val="29"/>
                <c:pt idx="1">
                  <c:v>2.2999999999999998</c:v>
                </c:pt>
                <c:pt idx="2">
                  <c:v>5.4</c:v>
                </c:pt>
                <c:pt idx="5">
                  <c:v>5.8</c:v>
                </c:pt>
                <c:pt idx="6">
                  <c:v>5.5</c:v>
                </c:pt>
                <c:pt idx="7">
                  <c:v>6.1</c:v>
                </c:pt>
                <c:pt idx="8">
                  <c:v>8.5</c:v>
                </c:pt>
                <c:pt idx="9">
                  <c:v>5.5</c:v>
                </c:pt>
                <c:pt idx="13">
                  <c:v>8.4</c:v>
                </c:pt>
                <c:pt idx="16">
                  <c:v>6.8</c:v>
                </c:pt>
                <c:pt idx="18">
                  <c:v>8.9266666666666747</c:v>
                </c:pt>
                <c:pt idx="19">
                  <c:v>11.3</c:v>
                </c:pt>
                <c:pt idx="21">
                  <c:v>7.5</c:v>
                </c:pt>
                <c:pt idx="23">
                  <c:v>14</c:v>
                </c:pt>
                <c:pt idx="24">
                  <c:v>10.8</c:v>
                </c:pt>
                <c:pt idx="26">
                  <c:v>12.7</c:v>
                </c:pt>
                <c:pt idx="28">
                  <c:v>23.3</c:v>
                </c:pt>
              </c:numCache>
            </c:numRef>
          </c:val>
          <c:smooth val="0"/>
        </c:ser>
        <c:ser>
          <c:idx val="1"/>
          <c:order val="1"/>
          <c:tx>
            <c:strRef>
              <c:f>Data!$D$6</c:f>
              <c:strCache>
                <c:ptCount val="1"/>
                <c:pt idx="0">
                  <c:v>   2000</c:v>
                </c:pt>
              </c:strCache>
            </c:strRef>
          </c:tx>
          <c:spPr>
            <a:ln w="15875">
              <a:noFill/>
            </a:ln>
          </c:spPr>
          <c:marker>
            <c:symbol val="diamond"/>
            <c:size val="6"/>
            <c:spPr>
              <a:solidFill>
                <a:schemeClr val="accent2">
                  <a:lumMod val="60000"/>
                  <a:lumOff val="40000"/>
                </a:schemeClr>
              </a:solidFill>
              <a:ln>
                <a:solidFill>
                  <a:srgbClr val="7A003C"/>
                </a:solidFill>
              </a:ln>
            </c:spPr>
          </c:marker>
          <c:cat>
            <c:strRef>
              <c:f>Data!$A$7:$A$35</c:f>
              <c:strCache>
                <c:ptCount val="29"/>
                <c:pt idx="0">
                  <c:v>Corée*</c:v>
                </c:pt>
                <c:pt idx="1">
                  <c:v>Japon*</c:v>
                </c:pt>
                <c:pt idx="2">
                  <c:v>Suisse</c:v>
                </c:pt>
                <c:pt idx="3">
                  <c:v>Norvège</c:v>
                </c:pt>
                <c:pt idx="4">
                  <c:v>Italie</c:v>
                </c:pt>
                <c:pt idx="5">
                  <c:v>France</c:v>
                </c:pt>
                <c:pt idx="6">
                  <c:v>Suède</c:v>
                </c:pt>
                <c:pt idx="7">
                  <c:v>Pays-Bas</c:v>
                </c:pt>
                <c:pt idx="8">
                  <c:v>Autriche</c:v>
                </c:pt>
                <c:pt idx="9">
                  <c:v>Danemark</c:v>
                </c:pt>
                <c:pt idx="10">
                  <c:v>Belgique</c:v>
                </c:pt>
                <c:pt idx="11">
                  <c:v>Israel</c:v>
                </c:pt>
                <c:pt idx="12">
                  <c:v>Allemagne</c:v>
                </c:pt>
                <c:pt idx="13">
                  <c:v>Finlande</c:v>
                </c:pt>
                <c:pt idx="14">
                  <c:v>Irelande</c:v>
                </c:pt>
                <c:pt idx="15">
                  <c:v>Portugal </c:v>
                </c:pt>
                <c:pt idx="16">
                  <c:v>Espagne</c:v>
                </c:pt>
                <c:pt idx="17">
                  <c:v>Canada</c:v>
                </c:pt>
                <c:pt idx="18">
                  <c:v>OECD (15)**</c:v>
                </c:pt>
                <c:pt idx="19">
                  <c:v>Rep. Tchèque</c:v>
                </c:pt>
                <c:pt idx="20">
                  <c:v>Hongrie</c:v>
                </c:pt>
                <c:pt idx="21">
                  <c:v>Islande</c:v>
                </c:pt>
                <c:pt idx="22">
                  <c:v>Luxembourg*</c:v>
                </c:pt>
                <c:pt idx="23">
                  <c:v>Royaume-Uni*</c:v>
                </c:pt>
                <c:pt idx="24">
                  <c:v>Australie*</c:v>
                </c:pt>
                <c:pt idx="25">
                  <c:v>Chilie*</c:v>
                </c:pt>
                <c:pt idx="26">
                  <c:v>Nlle Zélande*</c:v>
                </c:pt>
                <c:pt idx="27">
                  <c:v>Mexique*</c:v>
                </c:pt>
                <c:pt idx="28">
                  <c:v>Etats-Unis*</c:v>
                </c:pt>
              </c:strCache>
            </c:strRef>
          </c:cat>
          <c:val>
            <c:numRef>
              <c:f>Data!$D$7:$D$35</c:f>
              <c:numCache>
                <c:formatCode>0.0</c:formatCode>
                <c:ptCount val="29"/>
                <c:pt idx="0">
                  <c:v>3.2</c:v>
                </c:pt>
                <c:pt idx="1">
                  <c:v>2.9</c:v>
                </c:pt>
                <c:pt idx="2">
                  <c:v>7.7</c:v>
                </c:pt>
                <c:pt idx="3">
                  <c:v>6</c:v>
                </c:pt>
                <c:pt idx="4">
                  <c:v>8.6</c:v>
                </c:pt>
                <c:pt idx="5">
                  <c:v>9</c:v>
                </c:pt>
                <c:pt idx="6">
                  <c:v>9.2000000000000011</c:v>
                </c:pt>
                <c:pt idx="7">
                  <c:v>9.4</c:v>
                </c:pt>
                <c:pt idx="8">
                  <c:v>9.1</c:v>
                </c:pt>
                <c:pt idx="9">
                  <c:v>9.5</c:v>
                </c:pt>
                <c:pt idx="10">
                  <c:v>12.1</c:v>
                </c:pt>
                <c:pt idx="11">
                  <c:v>12.5</c:v>
                </c:pt>
                <c:pt idx="12">
                  <c:v>11.5</c:v>
                </c:pt>
                <c:pt idx="13">
                  <c:v>11.2</c:v>
                </c:pt>
                <c:pt idx="14">
                  <c:v>11</c:v>
                </c:pt>
                <c:pt idx="15">
                  <c:v>12.8</c:v>
                </c:pt>
                <c:pt idx="16">
                  <c:v>12.6</c:v>
                </c:pt>
                <c:pt idx="17">
                  <c:v>13.9</c:v>
                </c:pt>
                <c:pt idx="18">
                  <c:v>13.28</c:v>
                </c:pt>
                <c:pt idx="19">
                  <c:v>14.2</c:v>
                </c:pt>
                <c:pt idx="20">
                  <c:v>18.2</c:v>
                </c:pt>
                <c:pt idx="21">
                  <c:v>12.4</c:v>
                </c:pt>
                <c:pt idx="22">
                  <c:v>16.3</c:v>
                </c:pt>
                <c:pt idx="23">
                  <c:v>21</c:v>
                </c:pt>
                <c:pt idx="24">
                  <c:v>21.7</c:v>
                </c:pt>
                <c:pt idx="25">
                  <c:v>24.5</c:v>
                </c:pt>
                <c:pt idx="26">
                  <c:v>18.8</c:v>
                </c:pt>
                <c:pt idx="27">
                  <c:v>24.2</c:v>
                </c:pt>
                <c:pt idx="28">
                  <c:v>30.5</c:v>
                </c:pt>
              </c:numCache>
            </c:numRef>
          </c:val>
          <c:smooth val="0"/>
        </c:ser>
        <c:dLbls>
          <c:showLegendKey val="0"/>
          <c:showVal val="0"/>
          <c:showCatName val="0"/>
          <c:showSerName val="0"/>
          <c:showPercent val="0"/>
          <c:showBubbleSize val="0"/>
        </c:dLbls>
        <c:marker val="1"/>
        <c:smooth val="0"/>
        <c:axId val="125635584"/>
        <c:axId val="125645952"/>
      </c:lineChart>
      <c:catAx>
        <c:axId val="125635584"/>
        <c:scaling>
          <c:orientation val="minMax"/>
        </c:scaling>
        <c:delete val="0"/>
        <c:axPos val="b"/>
        <c:numFmt formatCode="General" sourceLinked="1"/>
        <c:majorTickMark val="none"/>
        <c:minorTickMark val="none"/>
        <c:tickLblPos val="nextTo"/>
        <c:spPr>
          <a:ln>
            <a:solidFill>
              <a:schemeClr val="tx1">
                <a:lumMod val="85000"/>
                <a:lumOff val="15000"/>
              </a:schemeClr>
            </a:solidFill>
          </a:ln>
        </c:spPr>
        <c:txPr>
          <a:bodyPr rot="-5400000" vert="horz"/>
          <a:lstStyle/>
          <a:p>
            <a:pPr>
              <a:defRPr/>
            </a:pPr>
            <a:endParaRPr lang="fr-FR"/>
          </a:p>
        </c:txPr>
        <c:crossAx val="125645952"/>
        <c:crosses val="autoZero"/>
        <c:auto val="1"/>
        <c:lblAlgn val="ctr"/>
        <c:lblOffset val="0"/>
        <c:noMultiLvlLbl val="0"/>
      </c:catAx>
      <c:valAx>
        <c:axId val="125645952"/>
        <c:scaling>
          <c:orientation val="minMax"/>
          <c:max val="35"/>
        </c:scaling>
        <c:delete val="0"/>
        <c:axPos val="l"/>
        <c:majorGridlines>
          <c:spPr>
            <a:ln>
              <a:solidFill>
                <a:schemeClr val="bg1">
                  <a:lumMod val="75000"/>
                </a:schemeClr>
              </a:solidFill>
            </a:ln>
          </c:spPr>
        </c:majorGridlines>
        <c:numFmt formatCode="0" sourceLinked="0"/>
        <c:majorTickMark val="out"/>
        <c:minorTickMark val="none"/>
        <c:tickLblPos val="nextTo"/>
        <c:spPr>
          <a:ln>
            <a:noFill/>
          </a:ln>
        </c:spPr>
        <c:txPr>
          <a:bodyPr rot="0" vert="horz"/>
          <a:lstStyle/>
          <a:p>
            <a:pPr>
              <a:defRPr/>
            </a:pPr>
            <a:endParaRPr lang="fr-FR"/>
          </a:p>
        </c:txPr>
        <c:crossAx val="125635584"/>
        <c:crosses val="autoZero"/>
        <c:crossBetween val="between"/>
      </c:valAx>
      <c:spPr>
        <a:ln>
          <a:solidFill>
            <a:schemeClr val="bg1">
              <a:lumMod val="75000"/>
            </a:schemeClr>
          </a:solidFill>
        </a:ln>
      </c:spPr>
    </c:plotArea>
    <c:legend>
      <c:legendPos val="r"/>
      <c:layout>
        <c:manualLayout>
          <c:xMode val="edge"/>
          <c:yMode val="edge"/>
          <c:x val="4.7456701141197856E-2"/>
          <c:y val="1.953693288338957E-2"/>
          <c:w val="0.59851734834085646"/>
          <c:h val="0.12255418072740962"/>
        </c:manualLayout>
      </c:layout>
      <c:overlay val="1"/>
    </c:legend>
    <c:plotVisOnly val="1"/>
    <c:dispBlanksAs val="gap"/>
    <c:showDLblsOverMax val="0"/>
  </c:chart>
  <c:spPr>
    <a:ln>
      <a:noFill/>
    </a:ln>
  </c:spPr>
  <c:txPr>
    <a:bodyPr/>
    <a:lstStyle/>
    <a:p>
      <a:pPr>
        <a:defRPr sz="900" b="0" i="0" u="none" strike="noStrike" baseline="0">
          <a:solidFill>
            <a:schemeClr val="tx1">
              <a:lumMod val="85000"/>
              <a:lumOff val="15000"/>
            </a:schemeClr>
          </a:solidFill>
          <a:latin typeface="+mn-lt"/>
          <a:ea typeface="Arial"/>
          <a:cs typeface="Arial"/>
        </a:defRPr>
      </a:pPr>
      <a:endParaRPr lang="fr-F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821849875400642E-2"/>
          <c:y val="2.7558401569309991E-2"/>
          <c:w val="0.91200806060380424"/>
          <c:h val="0.68189214104549067"/>
        </c:manualLayout>
      </c:layout>
      <c:barChart>
        <c:barDir val="col"/>
        <c:grouping val="clustered"/>
        <c:varyColors val="0"/>
        <c:ser>
          <c:idx val="0"/>
          <c:order val="0"/>
          <c:spPr>
            <a:solidFill>
              <a:schemeClr val="bg1">
                <a:lumMod val="75000"/>
              </a:schemeClr>
            </a:solidFill>
          </c:spPr>
          <c:invertIfNegative val="0"/>
          <c:dPt>
            <c:idx val="30"/>
            <c:invertIfNegative val="0"/>
            <c:bubble3D val="0"/>
            <c:spPr>
              <a:solidFill>
                <a:srgbClr val="7A003C"/>
              </a:solidFill>
            </c:spPr>
          </c:dPt>
          <c:cat>
            <c:strRef>
              <c:f>Français!$B$51:$B$85</c:f>
              <c:strCache>
                <c:ptCount val="35"/>
                <c:pt idx="0">
                  <c:v>Mexique</c:v>
                </c:pt>
                <c:pt idx="1">
                  <c:v>Chili</c:v>
                </c:pt>
                <c:pt idx="2">
                  <c:v>Etats-Unis</c:v>
                </c:pt>
                <c:pt idx="3">
                  <c:v>Corée</c:v>
                </c:pt>
                <c:pt idx="4">
                  <c:v>Australie</c:v>
                </c:pt>
                <c:pt idx="5">
                  <c:v>Turquie</c:v>
                </c:pt>
                <c:pt idx="6">
                  <c:v>Japon</c:v>
                </c:pt>
                <c:pt idx="7">
                  <c:v>Irlande</c:v>
                </c:pt>
                <c:pt idx="8">
                  <c:v>Rép. slovaque</c:v>
                </c:pt>
                <c:pt idx="9">
                  <c:v>Suisse</c:v>
                </c:pt>
                <c:pt idx="10">
                  <c:v>Grèce</c:v>
                </c:pt>
                <c:pt idx="11">
                  <c:v>Canada</c:v>
                </c:pt>
                <c:pt idx="12">
                  <c:v>Portugal</c:v>
                </c:pt>
                <c:pt idx="13">
                  <c:v>Nvle-Zélande</c:v>
                </c:pt>
                <c:pt idx="14">
                  <c:v>Espagne</c:v>
                </c:pt>
                <c:pt idx="15">
                  <c:v>Pologne</c:v>
                </c:pt>
                <c:pt idx="16">
                  <c:v>Israël</c:v>
                </c:pt>
                <c:pt idx="17">
                  <c:v>OCDE</c:v>
                </c:pt>
                <c:pt idx="18">
                  <c:v>Estonie</c:v>
                </c:pt>
                <c:pt idx="19">
                  <c:v>Rép. tchèque</c:v>
                </c:pt>
                <c:pt idx="20">
                  <c:v>Royaume-Uni</c:v>
                </c:pt>
                <c:pt idx="21">
                  <c:v>Islande</c:v>
                </c:pt>
                <c:pt idx="22">
                  <c:v>Allemagne</c:v>
                </c:pt>
                <c:pt idx="23">
                  <c:v>Luxembourg</c:v>
                </c:pt>
                <c:pt idx="24">
                  <c:v>Hongrie</c:v>
                </c:pt>
                <c:pt idx="25">
                  <c:v>Slovénie</c:v>
                </c:pt>
                <c:pt idx="26">
                  <c:v>Pays-Bas</c:v>
                </c:pt>
                <c:pt idx="27">
                  <c:v>Autriche</c:v>
                </c:pt>
                <c:pt idx="28">
                  <c:v>Finlande</c:v>
                </c:pt>
                <c:pt idx="29">
                  <c:v>Norvège</c:v>
                </c:pt>
                <c:pt idx="30">
                  <c:v>France</c:v>
                </c:pt>
                <c:pt idx="31">
                  <c:v>Italie</c:v>
                </c:pt>
                <c:pt idx="32">
                  <c:v>Belgique</c:v>
                </c:pt>
                <c:pt idx="33">
                  <c:v>Suède</c:v>
                </c:pt>
                <c:pt idx="34">
                  <c:v>Danemark</c:v>
                </c:pt>
              </c:strCache>
            </c:strRef>
          </c:cat>
          <c:val>
            <c:numRef>
              <c:f>Français!$C$51:$C$85</c:f>
              <c:numCache>
                <c:formatCode>##0.0</c:formatCode>
                <c:ptCount val="35"/>
                <c:pt idx="0">
                  <c:v>18.094999999999999</c:v>
                </c:pt>
                <c:pt idx="1">
                  <c:v>20.884</c:v>
                </c:pt>
                <c:pt idx="2">
                  <c:v>24.832000000000001</c:v>
                </c:pt>
                <c:pt idx="3">
                  <c:v>25.068999999999889</c:v>
                </c:pt>
                <c:pt idx="4" formatCode="###,000">
                  <c:v>25.939999999999987</c:v>
                </c:pt>
                <c:pt idx="5">
                  <c:v>25.954000000000001</c:v>
                </c:pt>
                <c:pt idx="6" formatCode="###,000">
                  <c:v>26.924999999999986</c:v>
                </c:pt>
                <c:pt idx="7">
                  <c:v>27.986999999999789</c:v>
                </c:pt>
                <c:pt idx="8">
                  <c:v>28.353000000000005</c:v>
                </c:pt>
                <c:pt idx="9">
                  <c:v>29.827000000000005</c:v>
                </c:pt>
                <c:pt idx="10">
                  <c:v>30.934999999999999</c:v>
                </c:pt>
                <c:pt idx="11">
                  <c:v>30.954000000000001</c:v>
                </c:pt>
                <c:pt idx="12">
                  <c:v>31.282999999999745</c:v>
                </c:pt>
                <c:pt idx="13">
                  <c:v>31.295999999999989</c:v>
                </c:pt>
                <c:pt idx="14">
                  <c:v>31.699000000000005</c:v>
                </c:pt>
                <c:pt idx="15" formatCode="###,000">
                  <c:v>31.765999999999789</c:v>
                </c:pt>
                <c:pt idx="16">
                  <c:v>32.376000000000005</c:v>
                </c:pt>
                <c:pt idx="17" formatCode="###,000">
                  <c:v>33.783000000000001</c:v>
                </c:pt>
                <c:pt idx="18">
                  <c:v>33.951999999999998</c:v>
                </c:pt>
                <c:pt idx="19">
                  <c:v>34.898000000000003</c:v>
                </c:pt>
                <c:pt idx="20">
                  <c:v>35.04</c:v>
                </c:pt>
                <c:pt idx="21">
                  <c:v>36.261000000000003</c:v>
                </c:pt>
                <c:pt idx="22">
                  <c:v>36.312999999999995</c:v>
                </c:pt>
                <c:pt idx="23">
                  <c:v>36.67</c:v>
                </c:pt>
                <c:pt idx="24">
                  <c:v>37.617000000000004</c:v>
                </c:pt>
                <c:pt idx="25">
                  <c:v>37.725000000000442</c:v>
                </c:pt>
                <c:pt idx="26" formatCode="###,000">
                  <c:v>38.244</c:v>
                </c:pt>
                <c:pt idx="27">
                  <c:v>41.975000000000001</c:v>
                </c:pt>
                <c:pt idx="28">
                  <c:v>42.14</c:v>
                </c:pt>
                <c:pt idx="29">
                  <c:v>42.814999999999998</c:v>
                </c:pt>
                <c:pt idx="30">
                  <c:v>42.863</c:v>
                </c:pt>
                <c:pt idx="31">
                  <c:v>42.991</c:v>
                </c:pt>
                <c:pt idx="32">
                  <c:v>43.772000000000013</c:v>
                </c:pt>
                <c:pt idx="33">
                  <c:v>45.766000000000012</c:v>
                </c:pt>
                <c:pt idx="34">
                  <c:v>48.192000000000213</c:v>
                </c:pt>
              </c:numCache>
            </c:numRef>
          </c:val>
        </c:ser>
        <c:dLbls>
          <c:showLegendKey val="0"/>
          <c:showVal val="0"/>
          <c:showCatName val="0"/>
          <c:showSerName val="0"/>
          <c:showPercent val="0"/>
          <c:showBubbleSize val="0"/>
        </c:dLbls>
        <c:gapWidth val="39"/>
        <c:axId val="125677568"/>
        <c:axId val="125679104"/>
      </c:barChart>
      <c:catAx>
        <c:axId val="125677568"/>
        <c:scaling>
          <c:orientation val="minMax"/>
        </c:scaling>
        <c:delete val="0"/>
        <c:axPos val="b"/>
        <c:majorTickMark val="none"/>
        <c:minorTickMark val="none"/>
        <c:tickLblPos val="nextTo"/>
        <c:crossAx val="125679104"/>
        <c:crosses val="autoZero"/>
        <c:auto val="1"/>
        <c:lblAlgn val="ctr"/>
        <c:lblOffset val="100"/>
        <c:noMultiLvlLbl val="0"/>
      </c:catAx>
      <c:valAx>
        <c:axId val="125679104"/>
        <c:scaling>
          <c:orientation val="minMax"/>
          <c:max val="50"/>
        </c:scaling>
        <c:delete val="0"/>
        <c:axPos val="l"/>
        <c:majorGridlines>
          <c:spPr>
            <a:ln>
              <a:solidFill>
                <a:schemeClr val="bg1">
                  <a:lumMod val="85000"/>
                </a:schemeClr>
              </a:solidFill>
            </a:ln>
          </c:spPr>
        </c:majorGridlines>
        <c:numFmt formatCode="#,##0" sourceLinked="0"/>
        <c:majorTickMark val="out"/>
        <c:minorTickMark val="none"/>
        <c:tickLblPos val="nextTo"/>
        <c:spPr>
          <a:ln>
            <a:noFill/>
          </a:ln>
        </c:spPr>
        <c:crossAx val="125677568"/>
        <c:crosses val="autoZero"/>
        <c:crossBetween val="between"/>
      </c:valAx>
      <c:spPr>
        <a:ln>
          <a:solidFill>
            <a:schemeClr val="bg1">
              <a:lumMod val="85000"/>
            </a:schemeClr>
          </a:solidFill>
        </a:ln>
      </c:spPr>
    </c:plotArea>
    <c:plotVisOnly val="1"/>
    <c:dispBlanksAs val="gap"/>
    <c:showDLblsOverMax val="0"/>
  </c:chart>
  <c:spPr>
    <a:noFill/>
    <a:ln>
      <a:noFill/>
    </a:ln>
  </c:spPr>
  <c:txPr>
    <a:bodyPr/>
    <a:lstStyle/>
    <a:p>
      <a:pPr>
        <a:defRPr sz="900">
          <a:solidFill>
            <a:schemeClr val="tx1">
              <a:lumMod val="85000"/>
              <a:lumOff val="15000"/>
            </a:schemeClr>
          </a:solidFill>
        </a:defRPr>
      </a:pPr>
      <a:endParaRPr lang="fr-F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1703712608443118"/>
          <c:y val="0.1175318912627383"/>
          <c:w val="0.74878764200276504"/>
          <c:h val="0.86480563503580421"/>
        </c:manualLayout>
      </c:layout>
      <c:barChart>
        <c:barDir val="bar"/>
        <c:grouping val="stacked"/>
        <c:varyColors val="0"/>
        <c:ser>
          <c:idx val="0"/>
          <c:order val="0"/>
          <c:tx>
            <c:strRef>
              <c:f>'Chart 0.1'!$B$6</c:f>
              <c:strCache>
                <c:ptCount val="1"/>
                <c:pt idx="0">
                  <c:v> Cotisations sociales des employeurs</c:v>
                </c:pt>
              </c:strCache>
            </c:strRef>
          </c:tx>
          <c:spPr>
            <a:solidFill>
              <a:schemeClr val="bg1">
                <a:lumMod val="65000"/>
              </a:schemeClr>
            </a:solidFill>
            <a:ln>
              <a:solidFill>
                <a:schemeClr val="bg1">
                  <a:lumMod val="50000"/>
                </a:schemeClr>
              </a:solidFill>
            </a:ln>
          </c:spPr>
          <c:invertIfNegative val="0"/>
          <c:cat>
            <c:strRef>
              <c:f>'Chart 0.1'!$A$7:$A$40</c:f>
              <c:strCache>
                <c:ptCount val="34"/>
                <c:pt idx="0">
                  <c:v>France</c:v>
                </c:pt>
                <c:pt idx="1">
                  <c:v>Estonie</c:v>
                </c:pt>
                <c:pt idx="2">
                  <c:v>Rép. Tchèque</c:v>
                </c:pt>
                <c:pt idx="3">
                  <c:v>Italie</c:v>
                </c:pt>
                <c:pt idx="4">
                  <c:v>Suède</c:v>
                </c:pt>
                <c:pt idx="5">
                  <c:v>Belgique</c:v>
                </c:pt>
                <c:pt idx="6">
                  <c:v>Espagne</c:v>
                </c:pt>
                <c:pt idx="7">
                  <c:v>Autriche</c:v>
                </c:pt>
                <c:pt idx="8">
                  <c:v>Hongrie</c:v>
                </c:pt>
                <c:pt idx="9">
                  <c:v>Slovaquie</c:v>
                </c:pt>
                <c:pt idx="10">
                  <c:v>Portugal</c:v>
                </c:pt>
                <c:pt idx="11">
                  <c:v>Finlande</c:v>
                </c:pt>
                <c:pt idx="12">
                  <c:v>Allemagne</c:v>
                </c:pt>
                <c:pt idx="13">
                  <c:v>Turquie</c:v>
                </c:pt>
                <c:pt idx="14">
                  <c:v>OECD</c:v>
                </c:pt>
                <c:pt idx="15">
                  <c:v>Slovénie</c:v>
                </c:pt>
                <c:pt idx="16">
                  <c:v>Pologne</c:v>
                </c:pt>
                <c:pt idx="17">
                  <c:v>Japon</c:v>
                </c:pt>
                <c:pt idx="18">
                  <c:v>Norvège</c:v>
                </c:pt>
                <c:pt idx="19">
                  <c:v>Luxembourg</c:v>
                </c:pt>
                <c:pt idx="20">
                  <c:v>Mexique</c:v>
                </c:pt>
                <c:pt idx="21">
                  <c:v>Canada</c:v>
                </c:pt>
                <c:pt idx="22">
                  <c:v>Royaume-Uni</c:v>
                </c:pt>
                <c:pt idx="23">
                  <c:v>Irelande</c:v>
                </c:pt>
                <c:pt idx="24">
                  <c:v>Pays-bas</c:v>
                </c:pt>
                <c:pt idx="25">
                  <c:v>Corée du Sud</c:v>
                </c:pt>
                <c:pt idx="26">
                  <c:v>Etats-Unis</c:v>
                </c:pt>
                <c:pt idx="27">
                  <c:v>Islande</c:v>
                </c:pt>
                <c:pt idx="28">
                  <c:v>Suisse</c:v>
                </c:pt>
                <c:pt idx="29">
                  <c:v>Australie</c:v>
                </c:pt>
                <c:pt idx="30">
                  <c:v>Israel</c:v>
                </c:pt>
                <c:pt idx="31">
                  <c:v>Danemark</c:v>
                </c:pt>
                <c:pt idx="32">
                  <c:v>Chili</c:v>
                </c:pt>
                <c:pt idx="33">
                  <c:v>Nlle Zélande</c:v>
                </c:pt>
              </c:strCache>
            </c:strRef>
          </c:cat>
          <c:val>
            <c:numRef>
              <c:f>'Chart 0.1'!$B$7:$B$40</c:f>
              <c:numCache>
                <c:formatCode>0.0</c:formatCode>
                <c:ptCount val="34"/>
                <c:pt idx="0">
                  <c:v>29.73151460111243</c:v>
                </c:pt>
                <c:pt idx="1">
                  <c:v>25.595238095238088</c:v>
                </c:pt>
                <c:pt idx="2">
                  <c:v>25.373134328358208</c:v>
                </c:pt>
                <c:pt idx="3">
                  <c:v>24.288310115081693</c:v>
                </c:pt>
                <c:pt idx="4">
                  <c:v>23.90794548116131</c:v>
                </c:pt>
                <c:pt idx="5">
                  <c:v>23.09254499022369</c:v>
                </c:pt>
                <c:pt idx="6">
                  <c:v>23.017705927636733</c:v>
                </c:pt>
                <c:pt idx="7">
                  <c:v>22.557805066932264</c:v>
                </c:pt>
                <c:pt idx="8">
                  <c:v>22.178988326848355</c:v>
                </c:pt>
                <c:pt idx="9">
                  <c:v>20.760697305863609</c:v>
                </c:pt>
                <c:pt idx="10">
                  <c:v>19.191919191919194</c:v>
                </c:pt>
                <c:pt idx="11">
                  <c:v>18.36734693877542</c:v>
                </c:pt>
                <c:pt idx="12">
                  <c:v>16.475255794529129</c:v>
                </c:pt>
                <c:pt idx="13">
                  <c:v>14.163090128755366</c:v>
                </c:pt>
                <c:pt idx="14">
                  <c:v>13.997486379756502</c:v>
                </c:pt>
                <c:pt idx="15">
                  <c:v>13.867355727820843</c:v>
                </c:pt>
                <c:pt idx="16">
                  <c:v>12.876625635042323</c:v>
                </c:pt>
                <c:pt idx="17">
                  <c:v>12.432792167988975</c:v>
                </c:pt>
                <c:pt idx="18">
                  <c:v>11.582670203359859</c:v>
                </c:pt>
                <c:pt idx="19">
                  <c:v>10.96073368355445</c:v>
                </c:pt>
                <c:pt idx="20">
                  <c:v>10.549845907135747</c:v>
                </c:pt>
                <c:pt idx="21">
                  <c:v>10.467059437805403</c:v>
                </c:pt>
                <c:pt idx="22">
                  <c:v>9.8721917348025574</c:v>
                </c:pt>
                <c:pt idx="23">
                  <c:v>9.7065462753950769</c:v>
                </c:pt>
                <c:pt idx="24">
                  <c:v>9.2151342831184024</c:v>
                </c:pt>
                <c:pt idx="25">
                  <c:v>9.1526109857568549</c:v>
                </c:pt>
                <c:pt idx="26">
                  <c:v>8.6922078665013007</c:v>
                </c:pt>
                <c:pt idx="27">
                  <c:v>7.9613437643810654</c:v>
                </c:pt>
                <c:pt idx="28">
                  <c:v>5.7936881771078674</c:v>
                </c:pt>
                <c:pt idx="29">
                  <c:v>5.6316662380771509</c:v>
                </c:pt>
                <c:pt idx="30">
                  <c:v>4.4530821516795731</c:v>
                </c:pt>
                <c:pt idx="31">
                  <c:v>0</c:v>
                </c:pt>
                <c:pt idx="32">
                  <c:v>0</c:v>
                </c:pt>
                <c:pt idx="33">
                  <c:v>0</c:v>
                </c:pt>
              </c:numCache>
            </c:numRef>
          </c:val>
        </c:ser>
        <c:ser>
          <c:idx val="1"/>
          <c:order val="1"/>
          <c:tx>
            <c:strRef>
              <c:f>'Chart 0.1'!$C$6</c:f>
              <c:strCache>
                <c:ptCount val="1"/>
                <c:pt idx="0">
                  <c:v> Cotisations sociales des salariés</c:v>
                </c:pt>
              </c:strCache>
            </c:strRef>
          </c:tx>
          <c:spPr>
            <a:solidFill>
              <a:schemeClr val="bg1">
                <a:lumMod val="85000"/>
              </a:schemeClr>
            </a:solidFill>
            <a:ln>
              <a:solidFill>
                <a:schemeClr val="bg1">
                  <a:lumMod val="50000"/>
                </a:schemeClr>
              </a:solidFill>
            </a:ln>
          </c:spPr>
          <c:invertIfNegative val="0"/>
          <c:cat>
            <c:strRef>
              <c:f>'Chart 0.1'!$A$7:$A$40</c:f>
              <c:strCache>
                <c:ptCount val="34"/>
                <c:pt idx="0">
                  <c:v>France</c:v>
                </c:pt>
                <c:pt idx="1">
                  <c:v>Estonie</c:v>
                </c:pt>
                <c:pt idx="2">
                  <c:v>Rép. Tchèque</c:v>
                </c:pt>
                <c:pt idx="3">
                  <c:v>Italie</c:v>
                </c:pt>
                <c:pt idx="4">
                  <c:v>Suède</c:v>
                </c:pt>
                <c:pt idx="5">
                  <c:v>Belgique</c:v>
                </c:pt>
                <c:pt idx="6">
                  <c:v>Espagne</c:v>
                </c:pt>
                <c:pt idx="7">
                  <c:v>Autriche</c:v>
                </c:pt>
                <c:pt idx="8">
                  <c:v>Hongrie</c:v>
                </c:pt>
                <c:pt idx="9">
                  <c:v>Slovaquie</c:v>
                </c:pt>
                <c:pt idx="10">
                  <c:v>Portugal</c:v>
                </c:pt>
                <c:pt idx="11">
                  <c:v>Finlande</c:v>
                </c:pt>
                <c:pt idx="12">
                  <c:v>Allemagne</c:v>
                </c:pt>
                <c:pt idx="13">
                  <c:v>Turquie</c:v>
                </c:pt>
                <c:pt idx="14">
                  <c:v>OECD</c:v>
                </c:pt>
                <c:pt idx="15">
                  <c:v>Slovénie</c:v>
                </c:pt>
                <c:pt idx="16">
                  <c:v>Pologne</c:v>
                </c:pt>
                <c:pt idx="17">
                  <c:v>Japon</c:v>
                </c:pt>
                <c:pt idx="18">
                  <c:v>Norvège</c:v>
                </c:pt>
                <c:pt idx="19">
                  <c:v>Luxembourg</c:v>
                </c:pt>
                <c:pt idx="20">
                  <c:v>Mexique</c:v>
                </c:pt>
                <c:pt idx="21">
                  <c:v>Canada</c:v>
                </c:pt>
                <c:pt idx="22">
                  <c:v>Royaume-Uni</c:v>
                </c:pt>
                <c:pt idx="23">
                  <c:v>Irelande</c:v>
                </c:pt>
                <c:pt idx="24">
                  <c:v>Pays-bas</c:v>
                </c:pt>
                <c:pt idx="25">
                  <c:v>Corée du Sud</c:v>
                </c:pt>
                <c:pt idx="26">
                  <c:v>Etats-Unis</c:v>
                </c:pt>
                <c:pt idx="27">
                  <c:v>Islande</c:v>
                </c:pt>
                <c:pt idx="28">
                  <c:v>Suisse</c:v>
                </c:pt>
                <c:pt idx="29">
                  <c:v>Australie</c:v>
                </c:pt>
                <c:pt idx="30">
                  <c:v>Israel</c:v>
                </c:pt>
                <c:pt idx="31">
                  <c:v>Danemark</c:v>
                </c:pt>
                <c:pt idx="32">
                  <c:v>Chili</c:v>
                </c:pt>
                <c:pt idx="33">
                  <c:v>Nlle Zélande</c:v>
                </c:pt>
              </c:strCache>
            </c:strRef>
          </c:cat>
          <c:val>
            <c:numRef>
              <c:f>'Chart 0.1'!$C$7:$C$40</c:f>
              <c:numCache>
                <c:formatCode>0.0</c:formatCode>
                <c:ptCount val="34"/>
                <c:pt idx="0">
                  <c:v>9.611388524718091</c:v>
                </c:pt>
                <c:pt idx="1">
                  <c:v>2.0833333333333401</c:v>
                </c:pt>
                <c:pt idx="2">
                  <c:v>8.2089552238805528</c:v>
                </c:pt>
                <c:pt idx="3">
                  <c:v>7.1850393700787345</c:v>
                </c:pt>
                <c:pt idx="4">
                  <c:v>5.3303970477915987</c:v>
                </c:pt>
                <c:pt idx="5">
                  <c:v>10.759708186142202</c:v>
                </c:pt>
                <c:pt idx="6">
                  <c:v>4.8883756735950685</c:v>
                </c:pt>
                <c:pt idx="7">
                  <c:v>13.983847770771105</c:v>
                </c:pt>
                <c:pt idx="8">
                  <c:v>13.618677042801512</c:v>
                </c:pt>
                <c:pt idx="9">
                  <c:v>10.618066561014263</c:v>
                </c:pt>
                <c:pt idx="10">
                  <c:v>8.8888888888888928</c:v>
                </c:pt>
                <c:pt idx="11">
                  <c:v>5.8379799374475745</c:v>
                </c:pt>
                <c:pt idx="12">
                  <c:v>17.435790352892042</c:v>
                </c:pt>
                <c:pt idx="13">
                  <c:v>12.875536480686765</c:v>
                </c:pt>
                <c:pt idx="14">
                  <c:v>8.3004623428175197</c:v>
                </c:pt>
                <c:pt idx="15">
                  <c:v>19.035314384151587</c:v>
                </c:pt>
                <c:pt idx="16">
                  <c:v>15.530490741573253</c:v>
                </c:pt>
                <c:pt idx="17">
                  <c:v>11.749767946899246</c:v>
                </c:pt>
                <c:pt idx="18">
                  <c:v>6.8965517241379306</c:v>
                </c:pt>
                <c:pt idx="19">
                  <c:v>11.665961086172148</c:v>
                </c:pt>
                <c:pt idx="20">
                  <c:v>1.2153541650011634</c:v>
                </c:pt>
                <c:pt idx="21">
                  <c:v>6.4945579030806764</c:v>
                </c:pt>
                <c:pt idx="22">
                  <c:v>8.5362515665253156</c:v>
                </c:pt>
                <c:pt idx="23">
                  <c:v>3.6117381489841991</c:v>
                </c:pt>
                <c:pt idx="24">
                  <c:v>14.012454823438668</c:v>
                </c:pt>
                <c:pt idx="25">
                  <c:v>7.3174937276691425</c:v>
                </c:pt>
                <c:pt idx="26">
                  <c:v>5.1588902555426772</c:v>
                </c:pt>
                <c:pt idx="27">
                  <c:v>0.46177642466569735</c:v>
                </c:pt>
                <c:pt idx="28">
                  <c:v>5.7936881771078674</c:v>
                </c:pt>
                <c:pt idx="29">
                  <c:v>0</c:v>
                </c:pt>
                <c:pt idx="30">
                  <c:v>7.3844179717441545</c:v>
                </c:pt>
                <c:pt idx="31">
                  <c:v>10.724563872242642</c:v>
                </c:pt>
                <c:pt idx="32">
                  <c:v>7.0000000000000009</c:v>
                </c:pt>
                <c:pt idx="33">
                  <c:v>0</c:v>
                </c:pt>
              </c:numCache>
            </c:numRef>
          </c:val>
        </c:ser>
        <c:ser>
          <c:idx val="2"/>
          <c:order val="2"/>
          <c:tx>
            <c:strRef>
              <c:f>'Chart 0.1'!$D$6</c:f>
              <c:strCache>
                <c:ptCount val="1"/>
                <c:pt idx="0">
                  <c:v> Impôt sur le revenu**</c:v>
                </c:pt>
              </c:strCache>
            </c:strRef>
          </c:tx>
          <c:spPr>
            <a:solidFill>
              <a:schemeClr val="bg1">
                <a:lumMod val="95000"/>
              </a:schemeClr>
            </a:solidFill>
            <a:ln>
              <a:solidFill>
                <a:schemeClr val="bg1">
                  <a:lumMod val="75000"/>
                </a:schemeClr>
              </a:solidFill>
            </a:ln>
          </c:spPr>
          <c:invertIfNegative val="0"/>
          <c:cat>
            <c:strRef>
              <c:f>'Chart 0.1'!$A$7:$A$40</c:f>
              <c:strCache>
                <c:ptCount val="34"/>
                <c:pt idx="0">
                  <c:v>France</c:v>
                </c:pt>
                <c:pt idx="1">
                  <c:v>Estonie</c:v>
                </c:pt>
                <c:pt idx="2">
                  <c:v>Rép. Tchèque</c:v>
                </c:pt>
                <c:pt idx="3">
                  <c:v>Italie</c:v>
                </c:pt>
                <c:pt idx="4">
                  <c:v>Suède</c:v>
                </c:pt>
                <c:pt idx="5">
                  <c:v>Belgique</c:v>
                </c:pt>
                <c:pt idx="6">
                  <c:v>Espagne</c:v>
                </c:pt>
                <c:pt idx="7">
                  <c:v>Autriche</c:v>
                </c:pt>
                <c:pt idx="8">
                  <c:v>Hongrie</c:v>
                </c:pt>
                <c:pt idx="9">
                  <c:v>Slovaquie</c:v>
                </c:pt>
                <c:pt idx="10">
                  <c:v>Portugal</c:v>
                </c:pt>
                <c:pt idx="11">
                  <c:v>Finlande</c:v>
                </c:pt>
                <c:pt idx="12">
                  <c:v>Allemagne</c:v>
                </c:pt>
                <c:pt idx="13">
                  <c:v>Turquie</c:v>
                </c:pt>
                <c:pt idx="14">
                  <c:v>OECD</c:v>
                </c:pt>
                <c:pt idx="15">
                  <c:v>Slovénie</c:v>
                </c:pt>
                <c:pt idx="16">
                  <c:v>Pologne</c:v>
                </c:pt>
                <c:pt idx="17">
                  <c:v>Japon</c:v>
                </c:pt>
                <c:pt idx="18">
                  <c:v>Norvège</c:v>
                </c:pt>
                <c:pt idx="19">
                  <c:v>Luxembourg</c:v>
                </c:pt>
                <c:pt idx="20">
                  <c:v>Mexique</c:v>
                </c:pt>
                <c:pt idx="21">
                  <c:v>Canada</c:v>
                </c:pt>
                <c:pt idx="22">
                  <c:v>Royaume-Uni</c:v>
                </c:pt>
                <c:pt idx="23">
                  <c:v>Irelande</c:v>
                </c:pt>
                <c:pt idx="24">
                  <c:v>Pays-bas</c:v>
                </c:pt>
                <c:pt idx="25">
                  <c:v>Corée du Sud</c:v>
                </c:pt>
                <c:pt idx="26">
                  <c:v>Etats-Unis</c:v>
                </c:pt>
                <c:pt idx="27">
                  <c:v>Islande</c:v>
                </c:pt>
                <c:pt idx="28">
                  <c:v>Suisse</c:v>
                </c:pt>
                <c:pt idx="29">
                  <c:v>Australie</c:v>
                </c:pt>
                <c:pt idx="30">
                  <c:v>Israel</c:v>
                </c:pt>
                <c:pt idx="31">
                  <c:v>Danemark</c:v>
                </c:pt>
                <c:pt idx="32">
                  <c:v>Chili</c:v>
                </c:pt>
                <c:pt idx="33">
                  <c:v>Nlle Zélande</c:v>
                </c:pt>
              </c:strCache>
            </c:strRef>
          </c:cat>
          <c:val>
            <c:numRef>
              <c:f>'Chart 0.1'!$D$7:$D$40</c:f>
              <c:numCache>
                <c:formatCode>0.0</c:formatCode>
                <c:ptCount val="34"/>
                <c:pt idx="0">
                  <c:v>10.033497572023126</c:v>
                </c:pt>
                <c:pt idx="1">
                  <c:v>12.464627874142804</c:v>
                </c:pt>
                <c:pt idx="2">
                  <c:v>8.9266970835351991</c:v>
                </c:pt>
                <c:pt idx="3">
                  <c:v>16.138310676805329</c:v>
                </c:pt>
                <c:pt idx="4">
                  <c:v>13.562110967793719</c:v>
                </c:pt>
                <c:pt idx="5">
                  <c:v>21.69603407144259</c:v>
                </c:pt>
                <c:pt idx="6">
                  <c:v>11.98497239957033</c:v>
                </c:pt>
                <c:pt idx="7">
                  <c:v>11.866530008038119</c:v>
                </c:pt>
                <c:pt idx="8">
                  <c:v>13.580429024296583</c:v>
                </c:pt>
                <c:pt idx="9">
                  <c:v>7.4895915754624314</c:v>
                </c:pt>
                <c:pt idx="10">
                  <c:v>10.917415198151801</c:v>
                </c:pt>
                <c:pt idx="11">
                  <c:v>18.520528055162281</c:v>
                </c:pt>
                <c:pt idx="12">
                  <c:v>15.899601679923348</c:v>
                </c:pt>
                <c:pt idx="13">
                  <c:v>10.658200276516499</c:v>
                </c:pt>
                <c:pt idx="14">
                  <c:v>12.910870670603099</c:v>
                </c:pt>
                <c:pt idx="15">
                  <c:v>9.7445465289886748</c:v>
                </c:pt>
                <c:pt idx="16">
                  <c:v>5.9064556745694485</c:v>
                </c:pt>
                <c:pt idx="17">
                  <c:v>6.6244189898377472</c:v>
                </c:pt>
                <c:pt idx="18">
                  <c:v>18.987457703199322</c:v>
                </c:pt>
                <c:pt idx="19">
                  <c:v>13.334479876426165</c:v>
                </c:pt>
                <c:pt idx="20">
                  <c:v>4.3902649726636174</c:v>
                </c:pt>
                <c:pt idx="21">
                  <c:v>13.854247490428786</c:v>
                </c:pt>
                <c:pt idx="22">
                  <c:v>14.095650798574585</c:v>
                </c:pt>
                <c:pt idx="23">
                  <c:v>13.457394393563154</c:v>
                </c:pt>
                <c:pt idx="24">
                  <c:v>14.527548115016964</c:v>
                </c:pt>
                <c:pt idx="25">
                  <c:v>3.87396491130897</c:v>
                </c:pt>
                <c:pt idx="26">
                  <c:v>15.659924742390903</c:v>
                </c:pt>
                <c:pt idx="27">
                  <c:v>25.571746970841616</c:v>
                </c:pt>
                <c:pt idx="28">
                  <c:v>9.4107913279858035</c:v>
                </c:pt>
                <c:pt idx="29">
                  <c:v>21.018591222807327</c:v>
                </c:pt>
                <c:pt idx="30">
                  <c:v>7.9833526753257553</c:v>
                </c:pt>
                <c:pt idx="31">
                  <c:v>28.010334190611104</c:v>
                </c:pt>
                <c:pt idx="32">
                  <c:v>0</c:v>
                </c:pt>
                <c:pt idx="33">
                  <c:v>15.869015082498256</c:v>
                </c:pt>
              </c:numCache>
            </c:numRef>
          </c:val>
        </c:ser>
        <c:dLbls>
          <c:showLegendKey val="0"/>
          <c:showVal val="0"/>
          <c:showCatName val="0"/>
          <c:showSerName val="0"/>
          <c:showPercent val="0"/>
          <c:showBubbleSize val="0"/>
        </c:dLbls>
        <c:gapWidth val="40"/>
        <c:overlap val="100"/>
        <c:axId val="125765888"/>
        <c:axId val="125784064"/>
      </c:barChart>
      <c:catAx>
        <c:axId val="125765888"/>
        <c:scaling>
          <c:orientation val="maxMin"/>
        </c:scaling>
        <c:delete val="0"/>
        <c:axPos val="l"/>
        <c:numFmt formatCode="General" sourceLinked="1"/>
        <c:majorTickMark val="none"/>
        <c:minorTickMark val="none"/>
        <c:tickLblPos val="nextTo"/>
        <c:spPr>
          <a:ln>
            <a:solidFill>
              <a:schemeClr val="tx1">
                <a:lumMod val="85000"/>
                <a:lumOff val="15000"/>
              </a:schemeClr>
            </a:solidFill>
          </a:ln>
        </c:spPr>
        <c:txPr>
          <a:bodyPr rot="0" vert="horz"/>
          <a:lstStyle/>
          <a:p>
            <a:pPr>
              <a:defRPr/>
            </a:pPr>
            <a:endParaRPr lang="fr-FR"/>
          </a:p>
        </c:txPr>
        <c:crossAx val="125784064"/>
        <c:crossesAt val="0"/>
        <c:auto val="0"/>
        <c:lblAlgn val="ctr"/>
        <c:lblOffset val="100"/>
        <c:tickLblSkip val="1"/>
        <c:tickMarkSkip val="1"/>
        <c:noMultiLvlLbl val="0"/>
      </c:catAx>
      <c:valAx>
        <c:axId val="125784064"/>
        <c:scaling>
          <c:orientation val="minMax"/>
        </c:scaling>
        <c:delete val="0"/>
        <c:axPos val="t"/>
        <c:majorGridlines>
          <c:spPr>
            <a:ln>
              <a:solidFill>
                <a:schemeClr val="bg1">
                  <a:lumMod val="85000"/>
                </a:schemeClr>
              </a:solidFill>
              <a:prstDash val="solid"/>
            </a:ln>
          </c:spPr>
        </c:majorGridlines>
        <c:numFmt formatCode="0" sourceLinked="0"/>
        <c:majorTickMark val="out"/>
        <c:minorTickMark val="none"/>
        <c:tickLblPos val="nextTo"/>
        <c:spPr>
          <a:ln>
            <a:noFill/>
          </a:ln>
        </c:spPr>
        <c:txPr>
          <a:bodyPr rot="0" vert="horz"/>
          <a:lstStyle/>
          <a:p>
            <a:pPr>
              <a:defRPr/>
            </a:pPr>
            <a:endParaRPr lang="fr-FR"/>
          </a:p>
        </c:txPr>
        <c:crossAx val="125765888"/>
        <c:crosses val="autoZero"/>
        <c:crossBetween val="between"/>
      </c:valAx>
      <c:spPr>
        <a:ln>
          <a:solidFill>
            <a:schemeClr val="bg1">
              <a:lumMod val="65000"/>
            </a:schemeClr>
          </a:solidFill>
        </a:ln>
      </c:spPr>
    </c:plotArea>
    <c:legend>
      <c:legendPos val="r"/>
      <c:layout>
        <c:manualLayout>
          <c:xMode val="edge"/>
          <c:yMode val="edge"/>
          <c:x val="6.4867168356723187E-3"/>
          <c:y val="2.2160543185114012E-2"/>
          <c:w val="0.99024663901745058"/>
          <c:h val="2.4234267871416144E-2"/>
        </c:manualLayout>
      </c:layout>
      <c:overlay val="0"/>
      <c:spPr>
        <a:noFill/>
      </c:spPr>
    </c:legend>
    <c:plotVisOnly val="1"/>
    <c:dispBlanksAs val="gap"/>
    <c:showDLblsOverMax val="0"/>
  </c:chart>
  <c:spPr>
    <a:ln>
      <a:noFill/>
    </a:ln>
  </c:spPr>
  <c:txPr>
    <a:bodyPr/>
    <a:lstStyle/>
    <a:p>
      <a:pPr>
        <a:defRPr sz="900">
          <a:solidFill>
            <a:schemeClr val="tx1">
              <a:lumMod val="85000"/>
              <a:lumOff val="15000"/>
            </a:schemeClr>
          </a:solidFill>
        </a:defRPr>
      </a:pPr>
      <a:endParaRPr lang="fr-FR"/>
    </a:p>
  </c:tx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139231125521075"/>
          <c:y val="3.2395090319592403E-2"/>
          <c:w val="0.81988659580817702"/>
          <c:h val="0.8137271597031237"/>
        </c:manualLayout>
      </c:layout>
      <c:lineChart>
        <c:grouping val="standard"/>
        <c:varyColors val="0"/>
        <c:ser>
          <c:idx val="0"/>
          <c:order val="0"/>
          <c:tx>
            <c:strRef>
              <c:f>FRANDPRFDSBMPADSBM2700!$B$8</c:f>
              <c:strCache>
                <c:ptCount val="1"/>
                <c:pt idx="0">
                  <c:v>Part/Dépense Soins &amp; Biens Médicaux, tous financements</c:v>
                </c:pt>
              </c:strCache>
            </c:strRef>
          </c:tx>
          <c:spPr>
            <a:ln>
              <a:solidFill>
                <a:srgbClr val="7A003C"/>
              </a:solidFill>
            </a:ln>
          </c:spPr>
          <c:marker>
            <c:symbol val="none"/>
          </c:marker>
          <c:dPt>
            <c:idx val="11"/>
            <c:marker>
              <c:symbol val="circle"/>
              <c:size val="5"/>
              <c:spPr>
                <a:solidFill>
                  <a:srgbClr val="C0504D">
                    <a:lumMod val="60000"/>
                    <a:lumOff val="40000"/>
                  </a:srgbClr>
                </a:solidFill>
                <a:ln>
                  <a:solidFill>
                    <a:srgbClr val="7A003C"/>
                  </a:solidFill>
                </a:ln>
              </c:spPr>
            </c:marker>
            <c:bubble3D val="0"/>
          </c:dPt>
          <c:dLbls>
            <c:dLbl>
              <c:idx val="11"/>
              <c:layout>
                <c:manualLayout>
                  <c:x val="-7.0588235294117674E-2"/>
                  <c:y val="-1.6936081519221862E-2"/>
                </c:manualLayout>
              </c:layout>
              <c:tx>
                <c:rich>
                  <a:bodyPr/>
                  <a:lstStyle/>
                  <a:p>
                    <a:r>
                      <a:rPr lang="en-US" b="1">
                        <a:solidFill>
                          <a:srgbClr val="7A003C"/>
                        </a:solidFill>
                      </a:rPr>
                      <a:t>23,3%</a:t>
                    </a:r>
                  </a:p>
                </c:rich>
              </c:tx>
              <c:showLegendKey val="0"/>
              <c:showVal val="1"/>
              <c:showCatName val="0"/>
              <c:showSerName val="0"/>
              <c:showPercent val="0"/>
              <c:showBubbleSize val="0"/>
            </c:dLbl>
            <c:showLegendKey val="0"/>
            <c:showVal val="0"/>
            <c:showCatName val="0"/>
            <c:showSerName val="0"/>
            <c:showPercent val="0"/>
            <c:showBubbleSize val="0"/>
          </c:dLbls>
          <c:cat>
            <c:numRef>
              <c:f>FRANDPRFDSBMPADSBM2700!$A$59:$A$70</c:f>
              <c:numCache>
                <c:formatCode>00</c:formatCode>
                <c:ptCount val="12"/>
                <c:pt idx="0">
                  <c:v>0</c:v>
                </c:pt>
                <c:pt idx="1">
                  <c:v>1</c:v>
                </c:pt>
                <c:pt idx="2">
                  <c:v>2</c:v>
                </c:pt>
                <c:pt idx="3">
                  <c:v>3</c:v>
                </c:pt>
                <c:pt idx="4">
                  <c:v>4</c:v>
                </c:pt>
                <c:pt idx="5">
                  <c:v>5</c:v>
                </c:pt>
                <c:pt idx="6">
                  <c:v>6</c:v>
                </c:pt>
                <c:pt idx="7">
                  <c:v>7</c:v>
                </c:pt>
                <c:pt idx="8">
                  <c:v>8</c:v>
                </c:pt>
                <c:pt idx="9">
                  <c:v>9</c:v>
                </c:pt>
                <c:pt idx="10">
                  <c:v>10</c:v>
                </c:pt>
                <c:pt idx="11">
                  <c:v>11</c:v>
                </c:pt>
              </c:numCache>
            </c:numRef>
          </c:cat>
          <c:val>
            <c:numRef>
              <c:f>FRANDPRFDSBMPADSBM2700!$B$59:$B$70</c:f>
              <c:numCache>
                <c:formatCode>0.0</c:formatCode>
                <c:ptCount val="12"/>
                <c:pt idx="0">
                  <c:v>22.1</c:v>
                </c:pt>
                <c:pt idx="1">
                  <c:v>22</c:v>
                </c:pt>
                <c:pt idx="2">
                  <c:v>21.8</c:v>
                </c:pt>
                <c:pt idx="3">
                  <c:v>21.6</c:v>
                </c:pt>
                <c:pt idx="4">
                  <c:v>21.7</c:v>
                </c:pt>
                <c:pt idx="5">
                  <c:v>21.9</c:v>
                </c:pt>
                <c:pt idx="6">
                  <c:v>22.4</c:v>
                </c:pt>
                <c:pt idx="7">
                  <c:v>22.4</c:v>
                </c:pt>
                <c:pt idx="8">
                  <c:v>23</c:v>
                </c:pt>
                <c:pt idx="9">
                  <c:v>23</c:v>
                </c:pt>
                <c:pt idx="10">
                  <c:v>23</c:v>
                </c:pt>
                <c:pt idx="11">
                  <c:v>23.3</c:v>
                </c:pt>
              </c:numCache>
            </c:numRef>
          </c:val>
          <c:smooth val="0"/>
        </c:ser>
        <c:dLbls>
          <c:showLegendKey val="0"/>
          <c:showVal val="0"/>
          <c:showCatName val="0"/>
          <c:showSerName val="0"/>
          <c:showPercent val="0"/>
          <c:showBubbleSize val="0"/>
        </c:dLbls>
        <c:marker val="1"/>
        <c:smooth val="0"/>
        <c:axId val="125817984"/>
        <c:axId val="125819520"/>
      </c:lineChart>
      <c:catAx>
        <c:axId val="125817984"/>
        <c:scaling>
          <c:orientation val="minMax"/>
        </c:scaling>
        <c:delete val="0"/>
        <c:axPos val="b"/>
        <c:numFmt formatCode="00" sourceLinked="1"/>
        <c:majorTickMark val="out"/>
        <c:minorTickMark val="none"/>
        <c:tickLblPos val="nextTo"/>
        <c:spPr>
          <a:ln>
            <a:solidFill>
              <a:sysClr val="windowText" lastClr="000000">
                <a:lumMod val="85000"/>
                <a:lumOff val="15000"/>
              </a:sysClr>
            </a:solidFill>
          </a:ln>
        </c:spPr>
        <c:crossAx val="125819520"/>
        <c:crosses val="autoZero"/>
        <c:auto val="1"/>
        <c:lblAlgn val="ctr"/>
        <c:lblOffset val="100"/>
        <c:noMultiLvlLbl val="0"/>
      </c:catAx>
      <c:valAx>
        <c:axId val="125819520"/>
        <c:scaling>
          <c:orientation val="minMax"/>
        </c:scaling>
        <c:delete val="0"/>
        <c:axPos val="l"/>
        <c:majorGridlines>
          <c:spPr>
            <a:ln>
              <a:solidFill>
                <a:sysClr val="window" lastClr="FFFFFF">
                  <a:lumMod val="85000"/>
                </a:sysClr>
              </a:solidFill>
            </a:ln>
          </c:spPr>
        </c:majorGridlines>
        <c:numFmt formatCode="0.0" sourceLinked="1"/>
        <c:majorTickMark val="out"/>
        <c:minorTickMark val="none"/>
        <c:tickLblPos val="nextTo"/>
        <c:spPr>
          <a:ln>
            <a:noFill/>
          </a:ln>
        </c:spPr>
        <c:crossAx val="125817984"/>
        <c:crosses val="autoZero"/>
        <c:crossBetween val="midCat"/>
      </c:valAx>
      <c:spPr>
        <a:ln>
          <a:solidFill>
            <a:sysClr val="window" lastClr="FFFFFF">
              <a:lumMod val="85000"/>
            </a:sysClr>
          </a:solidFill>
        </a:ln>
      </c:spPr>
    </c:plotArea>
    <c:plotVisOnly val="1"/>
    <c:dispBlanksAs val="gap"/>
    <c:showDLblsOverMax val="0"/>
  </c:chart>
  <c:spPr>
    <a:ln>
      <a:noFill/>
    </a:ln>
  </c:spPr>
  <c:txPr>
    <a:bodyPr/>
    <a:lstStyle/>
    <a:p>
      <a:pPr>
        <a:defRPr sz="900">
          <a:solidFill>
            <a:schemeClr val="tx1">
              <a:lumMod val="85000"/>
              <a:lumOff val="15000"/>
            </a:schemeClr>
          </a:solidFill>
        </a:defRPr>
      </a:pPr>
      <a:endParaRPr lang="fr-FR"/>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812852938837188"/>
          <c:y val="0.17463090551181101"/>
          <c:w val="0.76358837721042461"/>
          <c:h val="0.70178325365580119"/>
        </c:manualLayout>
      </c:layout>
      <c:barChart>
        <c:barDir val="col"/>
        <c:grouping val="percentStacked"/>
        <c:varyColors val="0"/>
        <c:ser>
          <c:idx val="0"/>
          <c:order val="0"/>
          <c:tx>
            <c:strRef>
              <c:f>Feuil1!$A$7</c:f>
              <c:strCache>
                <c:ptCount val="1"/>
                <c:pt idx="0">
                  <c:v> Sécurité sociale</c:v>
                </c:pt>
              </c:strCache>
            </c:strRef>
          </c:tx>
          <c:spPr>
            <a:solidFill>
              <a:schemeClr val="bg1">
                <a:lumMod val="75000"/>
              </a:schemeClr>
            </a:solidFill>
          </c:spPr>
          <c:invertIfNegative val="0"/>
          <c:dLbls>
            <c:txPr>
              <a:bodyPr/>
              <a:lstStyle/>
              <a:p>
                <a:pPr>
                  <a:defRPr sz="850" b="1">
                    <a:solidFill>
                      <a:schemeClr val="tx1">
                        <a:lumMod val="85000"/>
                        <a:lumOff val="15000"/>
                      </a:schemeClr>
                    </a:solidFill>
                  </a:defRPr>
                </a:pPr>
                <a:endParaRPr lang="fr-FR"/>
              </a:p>
            </c:txPr>
            <c:showLegendKey val="0"/>
            <c:showVal val="1"/>
            <c:showCatName val="0"/>
            <c:showSerName val="0"/>
            <c:showPercent val="0"/>
            <c:showBubbleSize val="0"/>
            <c:showLeaderLines val="0"/>
          </c:dLbls>
          <c:cat>
            <c:strRef>
              <c:f>Feuil1!$B$6:$E$6</c:f>
              <c:strCache>
                <c:ptCount val="4"/>
                <c:pt idx="0">
                  <c:v>CSBM</c:v>
                </c:pt>
                <c:pt idx="1">
                  <c:v>Soins hospitaliers</c:v>
                </c:pt>
                <c:pt idx="2">
                  <c:v>Soins 
de ville</c:v>
                </c:pt>
                <c:pt idx="3">
                  <c:v>Médicaments</c:v>
                </c:pt>
              </c:strCache>
            </c:strRef>
          </c:cat>
          <c:val>
            <c:numRef>
              <c:f>Feuil1!$B$7:$E$7</c:f>
              <c:numCache>
                <c:formatCode>General</c:formatCode>
                <c:ptCount val="4"/>
                <c:pt idx="0">
                  <c:v>75.8</c:v>
                </c:pt>
                <c:pt idx="1">
                  <c:v>90.9</c:v>
                </c:pt>
                <c:pt idx="2">
                  <c:v>63.2</c:v>
                </c:pt>
                <c:pt idx="3">
                  <c:v>66.2</c:v>
                </c:pt>
              </c:numCache>
            </c:numRef>
          </c:val>
        </c:ser>
        <c:ser>
          <c:idx val="1"/>
          <c:order val="1"/>
          <c:tx>
            <c:strRef>
              <c:f>Feuil1!$A$8</c:f>
              <c:strCache>
                <c:ptCount val="1"/>
                <c:pt idx="0">
                  <c:v> Etat, CMU</c:v>
                </c:pt>
              </c:strCache>
            </c:strRef>
          </c:tx>
          <c:spPr>
            <a:solidFill>
              <a:schemeClr val="accent6">
                <a:lumMod val="75000"/>
              </a:schemeClr>
            </a:solidFill>
          </c:spPr>
          <c:invertIfNegative val="0"/>
          <c:dLbls>
            <c:dLbl>
              <c:idx val="0"/>
              <c:layout>
                <c:manualLayout>
                  <c:x val="9.5194064429098266E-2"/>
                  <c:y val="-3.1814205042552059E-7"/>
                </c:manualLayout>
              </c:layout>
              <c:showLegendKey val="0"/>
              <c:showVal val="1"/>
              <c:showCatName val="0"/>
              <c:showSerName val="0"/>
              <c:showPercent val="0"/>
              <c:showBubbleSize val="0"/>
            </c:dLbl>
            <c:dLbl>
              <c:idx val="1"/>
              <c:layout>
                <c:manualLayout>
                  <c:x val="9.2986700684760684E-2"/>
                  <c:y val="2.9461226437604411E-2"/>
                </c:manualLayout>
              </c:layout>
              <c:showLegendKey val="0"/>
              <c:showVal val="1"/>
              <c:showCatName val="0"/>
              <c:showSerName val="0"/>
              <c:showPercent val="0"/>
              <c:showBubbleSize val="0"/>
            </c:dLbl>
            <c:dLbl>
              <c:idx val="2"/>
              <c:layout>
                <c:manualLayout>
                  <c:x val="9.5194064429098266E-2"/>
                  <c:y val="0"/>
                </c:manualLayout>
              </c:layout>
              <c:showLegendKey val="0"/>
              <c:showVal val="1"/>
              <c:showCatName val="0"/>
              <c:showSerName val="0"/>
              <c:showPercent val="0"/>
              <c:showBubbleSize val="0"/>
            </c:dLbl>
            <c:dLbl>
              <c:idx val="3"/>
              <c:layout>
                <c:manualLayout>
                  <c:x val="9.8918459214944493E-2"/>
                  <c:y val="0"/>
                </c:manualLayout>
              </c:layout>
              <c:showLegendKey val="0"/>
              <c:showVal val="1"/>
              <c:showCatName val="0"/>
              <c:showSerName val="0"/>
              <c:showPercent val="0"/>
              <c:showBubbleSize val="0"/>
            </c:dLbl>
            <c:txPr>
              <a:bodyPr/>
              <a:lstStyle/>
              <a:p>
                <a:pPr>
                  <a:defRPr sz="850" b="1">
                    <a:solidFill>
                      <a:schemeClr val="accent6">
                        <a:lumMod val="50000"/>
                      </a:schemeClr>
                    </a:solidFill>
                  </a:defRPr>
                </a:pPr>
                <a:endParaRPr lang="fr-FR"/>
              </a:p>
            </c:txPr>
            <c:showLegendKey val="0"/>
            <c:showVal val="1"/>
            <c:showCatName val="0"/>
            <c:showSerName val="0"/>
            <c:showPercent val="0"/>
            <c:showBubbleSize val="0"/>
            <c:showLeaderLines val="0"/>
          </c:dLbls>
          <c:cat>
            <c:strRef>
              <c:f>Feuil1!$B$6:$E$6</c:f>
              <c:strCache>
                <c:ptCount val="4"/>
                <c:pt idx="0">
                  <c:v>CSBM</c:v>
                </c:pt>
                <c:pt idx="1">
                  <c:v>Soins hospitaliers</c:v>
                </c:pt>
                <c:pt idx="2">
                  <c:v>Soins 
de ville</c:v>
                </c:pt>
                <c:pt idx="3">
                  <c:v>Médicaments</c:v>
                </c:pt>
              </c:strCache>
            </c:strRef>
          </c:cat>
          <c:val>
            <c:numRef>
              <c:f>Feuil1!$B$8:$E$8</c:f>
              <c:numCache>
                <c:formatCode>General</c:formatCode>
                <c:ptCount val="4"/>
                <c:pt idx="0">
                  <c:v>1.2</c:v>
                </c:pt>
                <c:pt idx="1">
                  <c:v>1.1000000000000001</c:v>
                </c:pt>
                <c:pt idx="2">
                  <c:v>1.8</c:v>
                </c:pt>
                <c:pt idx="3">
                  <c:v>1.2</c:v>
                </c:pt>
              </c:numCache>
            </c:numRef>
          </c:val>
        </c:ser>
        <c:ser>
          <c:idx val="2"/>
          <c:order val="2"/>
          <c:tx>
            <c:strRef>
              <c:f>Feuil1!$A$9</c:f>
              <c:strCache>
                <c:ptCount val="1"/>
                <c:pt idx="0">
                  <c:v> Organismes complémentaires</c:v>
                </c:pt>
              </c:strCache>
            </c:strRef>
          </c:tx>
          <c:spPr>
            <a:solidFill>
              <a:srgbClr val="7A003C"/>
            </a:solidFill>
          </c:spPr>
          <c:invertIfNegative val="0"/>
          <c:dLbls>
            <c:txPr>
              <a:bodyPr/>
              <a:lstStyle/>
              <a:p>
                <a:pPr>
                  <a:defRPr sz="850" b="1">
                    <a:solidFill>
                      <a:schemeClr val="bg1"/>
                    </a:solidFill>
                  </a:defRPr>
                </a:pPr>
                <a:endParaRPr lang="fr-FR"/>
              </a:p>
            </c:txPr>
            <c:showLegendKey val="0"/>
            <c:showVal val="1"/>
            <c:showCatName val="0"/>
            <c:showSerName val="0"/>
            <c:showPercent val="0"/>
            <c:showBubbleSize val="0"/>
            <c:showLeaderLines val="0"/>
          </c:dLbls>
          <c:cat>
            <c:strRef>
              <c:f>Feuil1!$B$6:$E$6</c:f>
              <c:strCache>
                <c:ptCount val="4"/>
                <c:pt idx="0">
                  <c:v>CSBM</c:v>
                </c:pt>
                <c:pt idx="1">
                  <c:v>Soins hospitaliers</c:v>
                </c:pt>
                <c:pt idx="2">
                  <c:v>Soins 
de ville</c:v>
                </c:pt>
                <c:pt idx="3">
                  <c:v>Médicaments</c:v>
                </c:pt>
              </c:strCache>
            </c:strRef>
          </c:cat>
          <c:val>
            <c:numRef>
              <c:f>Feuil1!$B$9:$E$9</c:f>
              <c:numCache>
                <c:formatCode>General</c:formatCode>
                <c:ptCount val="4"/>
                <c:pt idx="0">
                  <c:v>13.5</c:v>
                </c:pt>
                <c:pt idx="1">
                  <c:v>4.9000000000000004</c:v>
                </c:pt>
                <c:pt idx="2">
                  <c:v>22.3</c:v>
                </c:pt>
                <c:pt idx="3">
                  <c:v>16.3</c:v>
                </c:pt>
              </c:numCache>
            </c:numRef>
          </c:val>
        </c:ser>
        <c:ser>
          <c:idx val="3"/>
          <c:order val="3"/>
          <c:tx>
            <c:strRef>
              <c:f>Feuil1!$A$10</c:f>
              <c:strCache>
                <c:ptCount val="1"/>
                <c:pt idx="0">
                  <c:v> Ménages</c:v>
                </c:pt>
              </c:strCache>
            </c:strRef>
          </c:tx>
          <c:spPr>
            <a:solidFill>
              <a:schemeClr val="accent1">
                <a:lumMod val="75000"/>
              </a:schemeClr>
            </a:solidFill>
          </c:spPr>
          <c:invertIfNegative val="0"/>
          <c:dLbls>
            <c:dLbl>
              <c:idx val="1"/>
              <c:layout>
                <c:manualLayout>
                  <c:x val="8.9325943195649946E-2"/>
                  <c:y val="-6.2015429889446735E-3"/>
                </c:manualLayout>
              </c:layout>
              <c:spPr/>
              <c:txPr>
                <a:bodyPr/>
                <a:lstStyle/>
                <a:p>
                  <a:pPr>
                    <a:defRPr sz="850" b="1">
                      <a:solidFill>
                        <a:schemeClr val="tx2">
                          <a:lumMod val="75000"/>
                        </a:schemeClr>
                      </a:solidFill>
                    </a:defRPr>
                  </a:pPr>
                  <a:endParaRPr lang="fr-FR"/>
                </a:p>
              </c:txPr>
              <c:showLegendKey val="0"/>
              <c:showVal val="1"/>
              <c:showCatName val="0"/>
              <c:showSerName val="0"/>
              <c:showPercent val="0"/>
              <c:showBubbleSize val="0"/>
            </c:dLbl>
            <c:txPr>
              <a:bodyPr/>
              <a:lstStyle/>
              <a:p>
                <a:pPr>
                  <a:defRPr sz="850" b="1">
                    <a:solidFill>
                      <a:schemeClr val="bg1"/>
                    </a:solidFill>
                  </a:defRPr>
                </a:pPr>
                <a:endParaRPr lang="fr-FR"/>
              </a:p>
            </c:txPr>
            <c:showLegendKey val="0"/>
            <c:showVal val="1"/>
            <c:showCatName val="0"/>
            <c:showSerName val="0"/>
            <c:showPercent val="0"/>
            <c:showBubbleSize val="0"/>
            <c:showLeaderLines val="0"/>
          </c:dLbls>
          <c:cat>
            <c:strRef>
              <c:f>Feuil1!$B$6:$E$6</c:f>
              <c:strCache>
                <c:ptCount val="4"/>
                <c:pt idx="0">
                  <c:v>CSBM</c:v>
                </c:pt>
                <c:pt idx="1">
                  <c:v>Soins hospitaliers</c:v>
                </c:pt>
                <c:pt idx="2">
                  <c:v>Soins 
de ville</c:v>
                </c:pt>
                <c:pt idx="3">
                  <c:v>Médicaments</c:v>
                </c:pt>
              </c:strCache>
            </c:strRef>
          </c:cat>
          <c:val>
            <c:numRef>
              <c:f>Feuil1!$B$10:$E$10</c:f>
              <c:numCache>
                <c:formatCode>General</c:formatCode>
                <c:ptCount val="4"/>
                <c:pt idx="0">
                  <c:v>9.4</c:v>
                </c:pt>
                <c:pt idx="1">
                  <c:v>3.2</c:v>
                </c:pt>
                <c:pt idx="2">
                  <c:v>12.7</c:v>
                </c:pt>
                <c:pt idx="3">
                  <c:v>16.3</c:v>
                </c:pt>
              </c:numCache>
            </c:numRef>
          </c:val>
        </c:ser>
        <c:dLbls>
          <c:showLegendKey val="0"/>
          <c:showVal val="0"/>
          <c:showCatName val="0"/>
          <c:showSerName val="0"/>
          <c:showPercent val="0"/>
          <c:showBubbleSize val="0"/>
        </c:dLbls>
        <c:gapWidth val="75"/>
        <c:overlap val="100"/>
        <c:axId val="125864192"/>
        <c:axId val="125890560"/>
      </c:barChart>
      <c:catAx>
        <c:axId val="125864192"/>
        <c:scaling>
          <c:orientation val="minMax"/>
        </c:scaling>
        <c:delete val="0"/>
        <c:axPos val="b"/>
        <c:majorTickMark val="none"/>
        <c:minorTickMark val="none"/>
        <c:tickLblPos val="nextTo"/>
        <c:spPr>
          <a:ln>
            <a:solidFill>
              <a:schemeClr val="tx1">
                <a:lumMod val="85000"/>
                <a:lumOff val="15000"/>
              </a:schemeClr>
            </a:solidFill>
          </a:ln>
        </c:spPr>
        <c:crossAx val="125890560"/>
        <c:crosses val="autoZero"/>
        <c:auto val="1"/>
        <c:lblAlgn val="ctr"/>
        <c:lblOffset val="50"/>
        <c:noMultiLvlLbl val="0"/>
      </c:catAx>
      <c:valAx>
        <c:axId val="125890560"/>
        <c:scaling>
          <c:orientation val="minMax"/>
        </c:scaling>
        <c:delete val="0"/>
        <c:axPos val="l"/>
        <c:majorGridlines>
          <c:spPr>
            <a:ln>
              <a:solidFill>
                <a:schemeClr val="bg1">
                  <a:lumMod val="85000"/>
                </a:schemeClr>
              </a:solidFill>
            </a:ln>
          </c:spPr>
        </c:majorGridlines>
        <c:numFmt formatCode="0%" sourceLinked="1"/>
        <c:majorTickMark val="none"/>
        <c:minorTickMark val="none"/>
        <c:tickLblPos val="nextTo"/>
        <c:spPr>
          <a:ln>
            <a:noFill/>
          </a:ln>
        </c:spPr>
        <c:crossAx val="125864192"/>
        <c:crosses val="autoZero"/>
        <c:crossBetween val="between"/>
        <c:majorUnit val="0.2"/>
      </c:valAx>
      <c:spPr>
        <a:ln>
          <a:solidFill>
            <a:schemeClr val="bg1">
              <a:lumMod val="85000"/>
            </a:schemeClr>
          </a:solidFill>
        </a:ln>
      </c:spPr>
    </c:plotArea>
    <c:legend>
      <c:legendPos val="r"/>
      <c:layout>
        <c:manualLayout>
          <c:xMode val="edge"/>
          <c:yMode val="edge"/>
          <c:x val="8.0808080808080843E-2"/>
          <c:y val="0"/>
          <c:w val="0.8653198653198656"/>
          <c:h val="0.11696047994000752"/>
        </c:manualLayout>
      </c:layout>
      <c:overlay val="0"/>
    </c:legend>
    <c:plotVisOnly val="1"/>
    <c:dispBlanksAs val="gap"/>
    <c:showDLblsOverMax val="0"/>
  </c:chart>
  <c:spPr>
    <a:ln>
      <a:noFill/>
    </a:ln>
  </c:spPr>
  <c:txPr>
    <a:bodyPr/>
    <a:lstStyle/>
    <a:p>
      <a:pPr>
        <a:defRPr sz="900">
          <a:solidFill>
            <a:schemeClr val="tx1">
              <a:lumMod val="85000"/>
              <a:lumOff val="15000"/>
            </a:schemeClr>
          </a:solidFill>
        </a:defRPr>
      </a:pPr>
      <a:endParaRPr lang="fr-F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660356574600035E-2"/>
          <c:y val="0.17975292176425831"/>
          <c:w val="0.78413637414493897"/>
          <c:h val="0.71747723716946055"/>
        </c:manualLayout>
      </c:layout>
      <c:lineChart>
        <c:grouping val="standard"/>
        <c:varyColors val="0"/>
        <c:ser>
          <c:idx val="0"/>
          <c:order val="0"/>
          <c:tx>
            <c:strRef>
              <c:f>'V-g12'!$A$4</c:f>
              <c:strCache>
                <c:ptCount val="1"/>
                <c:pt idx="0">
                  <c:v> Hôpital</c:v>
                </c:pt>
              </c:strCache>
            </c:strRef>
          </c:tx>
          <c:spPr>
            <a:ln>
              <a:solidFill>
                <a:schemeClr val="accent1">
                  <a:lumMod val="75000"/>
                </a:schemeClr>
              </a:solidFill>
            </a:ln>
          </c:spPr>
          <c:marker>
            <c:symbol val="none"/>
          </c:marker>
          <c:dPt>
            <c:idx val="11"/>
            <c:marker>
              <c:symbol val="circle"/>
              <c:size val="5"/>
              <c:spPr>
                <a:solidFill>
                  <a:schemeClr val="accent1">
                    <a:lumMod val="40000"/>
                    <a:lumOff val="60000"/>
                  </a:schemeClr>
                </a:solidFill>
                <a:ln>
                  <a:solidFill>
                    <a:schemeClr val="accent1">
                      <a:lumMod val="75000"/>
                    </a:schemeClr>
                  </a:solidFill>
                </a:ln>
              </c:spPr>
            </c:marker>
            <c:bubble3D val="0"/>
          </c:dPt>
          <c:dLbls>
            <c:dLbl>
              <c:idx val="11"/>
              <c:showLegendKey val="0"/>
              <c:showVal val="1"/>
              <c:showCatName val="0"/>
              <c:showSerName val="0"/>
              <c:showPercent val="0"/>
              <c:showBubbleSize val="0"/>
            </c:dLbl>
            <c:txPr>
              <a:bodyPr/>
              <a:lstStyle/>
              <a:p>
                <a:pPr>
                  <a:defRPr b="1">
                    <a:solidFill>
                      <a:schemeClr val="tx2">
                        <a:lumMod val="75000"/>
                      </a:schemeClr>
                    </a:solidFill>
                  </a:defRPr>
                </a:pPr>
                <a:endParaRPr lang="fr-FR"/>
              </a:p>
            </c:txPr>
            <c:showLegendKey val="0"/>
            <c:showVal val="0"/>
            <c:showCatName val="0"/>
            <c:showSerName val="0"/>
            <c:showPercent val="0"/>
            <c:showBubbleSize val="0"/>
          </c:dLbls>
          <c:cat>
            <c:numRef>
              <c:f>'V-g12'!$B$3:$M$3</c:f>
              <c:numCache>
                <c:formatCode>00</c:formatCode>
                <c:ptCount val="12"/>
                <c:pt idx="0">
                  <c:v>0</c:v>
                </c:pt>
                <c:pt idx="1">
                  <c:v>1</c:v>
                </c:pt>
                <c:pt idx="2">
                  <c:v>2</c:v>
                </c:pt>
                <c:pt idx="3">
                  <c:v>3</c:v>
                </c:pt>
                <c:pt idx="4">
                  <c:v>4</c:v>
                </c:pt>
                <c:pt idx="5">
                  <c:v>5</c:v>
                </c:pt>
                <c:pt idx="6">
                  <c:v>6</c:v>
                </c:pt>
                <c:pt idx="7">
                  <c:v>7</c:v>
                </c:pt>
                <c:pt idx="8">
                  <c:v>8</c:v>
                </c:pt>
                <c:pt idx="9">
                  <c:v>9</c:v>
                </c:pt>
                <c:pt idx="10">
                  <c:v>10</c:v>
                </c:pt>
                <c:pt idx="11">
                  <c:v>11</c:v>
                </c:pt>
              </c:numCache>
            </c:numRef>
          </c:cat>
          <c:val>
            <c:numRef>
              <c:f>'V-g12'!$B$4:$M$4</c:f>
              <c:numCache>
                <c:formatCode>0.0%</c:formatCode>
                <c:ptCount val="12"/>
                <c:pt idx="0">
                  <c:v>3.6187232483313812E-2</c:v>
                </c:pt>
                <c:pt idx="1">
                  <c:v>3.6433380861000703E-2</c:v>
                </c:pt>
                <c:pt idx="2">
                  <c:v>3.7616877106790639E-2</c:v>
                </c:pt>
                <c:pt idx="3">
                  <c:v>3.7785284719502786E-2</c:v>
                </c:pt>
                <c:pt idx="4">
                  <c:v>3.8336210085694787E-2</c:v>
                </c:pt>
                <c:pt idx="5">
                  <c:v>4.0354720531172714E-2</c:v>
                </c:pt>
                <c:pt idx="6">
                  <c:v>4.3473848216795855E-2</c:v>
                </c:pt>
                <c:pt idx="7">
                  <c:v>4.5910777526779092E-2</c:v>
                </c:pt>
                <c:pt idx="8">
                  <c:v>4.6977404228706984E-2</c:v>
                </c:pt>
                <c:pt idx="9">
                  <c:v>4.6857864433191954E-2</c:v>
                </c:pt>
                <c:pt idx="10">
                  <c:v>4.9947717205322102E-2</c:v>
                </c:pt>
                <c:pt idx="11">
                  <c:v>5.3594833011786594E-2</c:v>
                </c:pt>
              </c:numCache>
            </c:numRef>
          </c:val>
          <c:smooth val="0"/>
        </c:ser>
        <c:ser>
          <c:idx val="1"/>
          <c:order val="1"/>
          <c:tx>
            <c:strRef>
              <c:f>'V-g12'!$A$5</c:f>
              <c:strCache>
                <c:ptCount val="1"/>
                <c:pt idx="0">
                  <c:v> Soins de ville</c:v>
                </c:pt>
              </c:strCache>
            </c:strRef>
          </c:tx>
          <c:spPr>
            <a:ln>
              <a:solidFill>
                <a:schemeClr val="bg1">
                  <a:lumMod val="65000"/>
                </a:schemeClr>
              </a:solidFill>
            </a:ln>
          </c:spPr>
          <c:marker>
            <c:symbol val="none"/>
          </c:marker>
          <c:dPt>
            <c:idx val="11"/>
            <c:marker>
              <c:symbol val="circle"/>
              <c:size val="5"/>
              <c:spPr>
                <a:solidFill>
                  <a:schemeClr val="bg1">
                    <a:lumMod val="85000"/>
                  </a:schemeClr>
                </a:solidFill>
                <a:ln>
                  <a:solidFill>
                    <a:schemeClr val="tx1">
                      <a:lumMod val="85000"/>
                      <a:lumOff val="15000"/>
                    </a:schemeClr>
                  </a:solidFill>
                </a:ln>
              </c:spPr>
            </c:marker>
            <c:bubble3D val="0"/>
          </c:dPt>
          <c:dLbls>
            <c:dLbl>
              <c:idx val="11"/>
              <c:showLegendKey val="0"/>
              <c:showVal val="1"/>
              <c:showCatName val="0"/>
              <c:showSerName val="0"/>
              <c:showPercent val="0"/>
              <c:showBubbleSize val="0"/>
            </c:dLbl>
            <c:txPr>
              <a:bodyPr/>
              <a:lstStyle/>
              <a:p>
                <a:pPr>
                  <a:defRPr b="1">
                    <a:solidFill>
                      <a:schemeClr val="tx1">
                        <a:lumMod val="85000"/>
                        <a:lumOff val="15000"/>
                      </a:schemeClr>
                    </a:solidFill>
                  </a:defRPr>
                </a:pPr>
                <a:endParaRPr lang="fr-FR"/>
              </a:p>
            </c:txPr>
            <c:showLegendKey val="0"/>
            <c:showVal val="0"/>
            <c:showCatName val="0"/>
            <c:showSerName val="0"/>
            <c:showPercent val="0"/>
            <c:showBubbleSize val="0"/>
          </c:dLbls>
          <c:cat>
            <c:numRef>
              <c:f>'V-g12'!$B$3:$M$3</c:f>
              <c:numCache>
                <c:formatCode>00</c:formatCode>
                <c:ptCount val="12"/>
                <c:pt idx="0">
                  <c:v>0</c:v>
                </c:pt>
                <c:pt idx="1">
                  <c:v>1</c:v>
                </c:pt>
                <c:pt idx="2">
                  <c:v>2</c:v>
                </c:pt>
                <c:pt idx="3">
                  <c:v>3</c:v>
                </c:pt>
                <c:pt idx="4">
                  <c:v>4</c:v>
                </c:pt>
                <c:pt idx="5">
                  <c:v>5</c:v>
                </c:pt>
                <c:pt idx="6">
                  <c:v>6</c:v>
                </c:pt>
                <c:pt idx="7">
                  <c:v>7</c:v>
                </c:pt>
                <c:pt idx="8">
                  <c:v>8</c:v>
                </c:pt>
                <c:pt idx="9">
                  <c:v>9</c:v>
                </c:pt>
                <c:pt idx="10">
                  <c:v>10</c:v>
                </c:pt>
                <c:pt idx="11">
                  <c:v>11</c:v>
                </c:pt>
              </c:numCache>
            </c:numRef>
          </c:cat>
          <c:val>
            <c:numRef>
              <c:f>'V-g12'!$B$5:$M$5</c:f>
              <c:numCache>
                <c:formatCode>0.0%</c:formatCode>
                <c:ptCount val="12"/>
                <c:pt idx="0">
                  <c:v>0.2125365003697707</c:v>
                </c:pt>
                <c:pt idx="1">
                  <c:v>0.20880019955626447</c:v>
                </c:pt>
                <c:pt idx="2">
                  <c:v>0.21594460796309789</c:v>
                </c:pt>
                <c:pt idx="3">
                  <c:v>0.21564978252884459</c:v>
                </c:pt>
                <c:pt idx="4">
                  <c:v>0.21943946248923285</c:v>
                </c:pt>
                <c:pt idx="5">
                  <c:v>0.21759254489050178</c:v>
                </c:pt>
                <c:pt idx="6">
                  <c:v>0.21640243129577688</c:v>
                </c:pt>
                <c:pt idx="7">
                  <c:v>0.21417657469207188</c:v>
                </c:pt>
                <c:pt idx="8">
                  <c:v>0.22055299604241146</c:v>
                </c:pt>
                <c:pt idx="9">
                  <c:v>0.22135918675560379</c:v>
                </c:pt>
                <c:pt idx="10">
                  <c:v>0.22184487250204871</c:v>
                </c:pt>
                <c:pt idx="11">
                  <c:v>0.22311392134748592</c:v>
                </c:pt>
              </c:numCache>
            </c:numRef>
          </c:val>
          <c:smooth val="0"/>
        </c:ser>
        <c:ser>
          <c:idx val="2"/>
          <c:order val="2"/>
          <c:tx>
            <c:strRef>
              <c:f>'V-g12'!$A$6</c:f>
              <c:strCache>
                <c:ptCount val="1"/>
                <c:pt idx="0">
                  <c:v> Médicaments</c:v>
                </c:pt>
              </c:strCache>
            </c:strRef>
          </c:tx>
          <c:spPr>
            <a:ln>
              <a:solidFill>
                <a:schemeClr val="accent1">
                  <a:lumMod val="60000"/>
                  <a:lumOff val="40000"/>
                </a:schemeClr>
              </a:solidFill>
            </a:ln>
          </c:spPr>
          <c:marker>
            <c:symbol val="none"/>
          </c:marker>
          <c:dPt>
            <c:idx val="11"/>
            <c:marker>
              <c:symbol val="circle"/>
              <c:size val="5"/>
              <c:spPr>
                <a:solidFill>
                  <a:schemeClr val="accent1">
                    <a:lumMod val="20000"/>
                    <a:lumOff val="80000"/>
                  </a:schemeClr>
                </a:solidFill>
                <a:ln>
                  <a:solidFill>
                    <a:schemeClr val="accent1">
                      <a:lumMod val="75000"/>
                    </a:schemeClr>
                  </a:solidFill>
                </a:ln>
              </c:spPr>
            </c:marker>
            <c:bubble3D val="0"/>
          </c:dPt>
          <c:dLbls>
            <c:dLbl>
              <c:idx val="11"/>
              <c:layout>
                <c:manualLayout>
                  <c:x val="-1.1534207013050704E-2"/>
                  <c:y val="-3.2407407407407655E-2"/>
                </c:manualLayout>
              </c:layout>
              <c:spPr/>
              <c:txPr>
                <a:bodyPr/>
                <a:lstStyle/>
                <a:p>
                  <a:pPr>
                    <a:defRPr b="1">
                      <a:solidFill>
                        <a:schemeClr val="tx2">
                          <a:lumMod val="75000"/>
                        </a:schemeClr>
                      </a:solidFill>
                    </a:defRPr>
                  </a:pPr>
                  <a:endParaRPr lang="fr-FR"/>
                </a:p>
              </c:txPr>
              <c:showLegendKey val="0"/>
              <c:showVal val="1"/>
              <c:showCatName val="0"/>
              <c:showSerName val="0"/>
              <c:showPercent val="0"/>
              <c:showBubbleSize val="0"/>
            </c:dLbl>
            <c:showLegendKey val="0"/>
            <c:showVal val="0"/>
            <c:showCatName val="0"/>
            <c:showSerName val="0"/>
            <c:showPercent val="0"/>
            <c:showBubbleSize val="0"/>
          </c:dLbls>
          <c:cat>
            <c:numRef>
              <c:f>'V-g12'!$B$3:$M$3</c:f>
              <c:numCache>
                <c:formatCode>00</c:formatCode>
                <c:ptCount val="12"/>
                <c:pt idx="0">
                  <c:v>0</c:v>
                </c:pt>
                <c:pt idx="1">
                  <c:v>1</c:v>
                </c:pt>
                <c:pt idx="2">
                  <c:v>2</c:v>
                </c:pt>
                <c:pt idx="3">
                  <c:v>3</c:v>
                </c:pt>
                <c:pt idx="4">
                  <c:v>4</c:v>
                </c:pt>
                <c:pt idx="5">
                  <c:v>5</c:v>
                </c:pt>
                <c:pt idx="6">
                  <c:v>6</c:v>
                </c:pt>
                <c:pt idx="7">
                  <c:v>7</c:v>
                </c:pt>
                <c:pt idx="8">
                  <c:v>8</c:v>
                </c:pt>
                <c:pt idx="9">
                  <c:v>9</c:v>
                </c:pt>
                <c:pt idx="10">
                  <c:v>10</c:v>
                </c:pt>
                <c:pt idx="11">
                  <c:v>11</c:v>
                </c:pt>
              </c:numCache>
            </c:numRef>
          </c:cat>
          <c:val>
            <c:numRef>
              <c:f>'V-g12'!$B$6:$M$6</c:f>
              <c:numCache>
                <c:formatCode>0.0%</c:formatCode>
                <c:ptCount val="12"/>
                <c:pt idx="0">
                  <c:v>0.18695342457419376</c:v>
                </c:pt>
                <c:pt idx="1">
                  <c:v>0.18358714126942496</c:v>
                </c:pt>
                <c:pt idx="2">
                  <c:v>0.17689320901243899</c:v>
                </c:pt>
                <c:pt idx="3">
                  <c:v>0.17585459586023244</c:v>
                </c:pt>
                <c:pt idx="4">
                  <c:v>0.177121565662303</c:v>
                </c:pt>
                <c:pt idx="5">
                  <c:v>0.17580287430504582</c:v>
                </c:pt>
                <c:pt idx="6">
                  <c:v>0.16706901117419623</c:v>
                </c:pt>
                <c:pt idx="7">
                  <c:v>0.16506812368339724</c:v>
                </c:pt>
                <c:pt idx="8">
                  <c:v>0.16179588543150064</c:v>
                </c:pt>
                <c:pt idx="9">
                  <c:v>0.16305623912192643</c:v>
                </c:pt>
                <c:pt idx="10">
                  <c:v>0.15639215135328199</c:v>
                </c:pt>
                <c:pt idx="11">
                  <c:v>0.15104041900047668</c:v>
                </c:pt>
              </c:numCache>
            </c:numRef>
          </c:val>
          <c:smooth val="0"/>
        </c:ser>
        <c:ser>
          <c:idx val="3"/>
          <c:order val="3"/>
          <c:tx>
            <c:strRef>
              <c:f>'V-g12'!$A$7</c:f>
              <c:strCache>
                <c:ptCount val="1"/>
                <c:pt idx="0">
                  <c:v> Autres biens médicaux</c:v>
                </c:pt>
              </c:strCache>
            </c:strRef>
          </c:tx>
          <c:spPr>
            <a:ln>
              <a:solidFill>
                <a:srgbClr val="7A003C"/>
              </a:solidFill>
            </a:ln>
          </c:spPr>
          <c:marker>
            <c:symbol val="none"/>
          </c:marker>
          <c:dPt>
            <c:idx val="11"/>
            <c:marker>
              <c:symbol val="circle"/>
              <c:size val="5"/>
              <c:spPr>
                <a:solidFill>
                  <a:schemeClr val="accent2">
                    <a:lumMod val="60000"/>
                    <a:lumOff val="40000"/>
                  </a:schemeClr>
                </a:solidFill>
                <a:ln>
                  <a:solidFill>
                    <a:srgbClr val="7A003C"/>
                  </a:solidFill>
                </a:ln>
              </c:spPr>
            </c:marker>
            <c:bubble3D val="0"/>
          </c:dPt>
          <c:dLbls>
            <c:dLbl>
              <c:idx val="11"/>
              <c:showLegendKey val="0"/>
              <c:showVal val="1"/>
              <c:showCatName val="0"/>
              <c:showSerName val="0"/>
              <c:showPercent val="0"/>
              <c:showBubbleSize val="0"/>
            </c:dLbl>
            <c:txPr>
              <a:bodyPr/>
              <a:lstStyle/>
              <a:p>
                <a:pPr>
                  <a:defRPr b="1">
                    <a:solidFill>
                      <a:srgbClr val="7A003C"/>
                    </a:solidFill>
                  </a:defRPr>
                </a:pPr>
                <a:endParaRPr lang="fr-FR"/>
              </a:p>
            </c:txPr>
            <c:showLegendKey val="0"/>
            <c:showVal val="0"/>
            <c:showCatName val="0"/>
            <c:showSerName val="0"/>
            <c:showPercent val="0"/>
            <c:showBubbleSize val="0"/>
          </c:dLbls>
          <c:cat>
            <c:numRef>
              <c:f>'V-g12'!$B$3:$M$3</c:f>
              <c:numCache>
                <c:formatCode>00</c:formatCode>
                <c:ptCount val="12"/>
                <c:pt idx="0">
                  <c:v>0</c:v>
                </c:pt>
                <c:pt idx="1">
                  <c:v>1</c:v>
                </c:pt>
                <c:pt idx="2">
                  <c:v>2</c:v>
                </c:pt>
                <c:pt idx="3">
                  <c:v>3</c:v>
                </c:pt>
                <c:pt idx="4">
                  <c:v>4</c:v>
                </c:pt>
                <c:pt idx="5">
                  <c:v>5</c:v>
                </c:pt>
                <c:pt idx="6">
                  <c:v>6</c:v>
                </c:pt>
                <c:pt idx="7">
                  <c:v>7</c:v>
                </c:pt>
                <c:pt idx="8">
                  <c:v>8</c:v>
                </c:pt>
                <c:pt idx="9">
                  <c:v>9</c:v>
                </c:pt>
                <c:pt idx="10">
                  <c:v>10</c:v>
                </c:pt>
                <c:pt idx="11">
                  <c:v>11</c:v>
                </c:pt>
              </c:numCache>
            </c:numRef>
          </c:cat>
          <c:val>
            <c:numRef>
              <c:f>'V-g12'!$B$7:$M$7</c:f>
              <c:numCache>
                <c:formatCode>0.0%</c:formatCode>
                <c:ptCount val="12"/>
                <c:pt idx="0">
                  <c:v>0.26203416986087724</c:v>
                </c:pt>
                <c:pt idx="1">
                  <c:v>0.2545946189647913</c:v>
                </c:pt>
                <c:pt idx="2">
                  <c:v>0.28077556399267389</c:v>
                </c:pt>
                <c:pt idx="3">
                  <c:v>0.30599724501655096</c:v>
                </c:pt>
                <c:pt idx="4">
                  <c:v>0.31378450070150948</c:v>
                </c:pt>
                <c:pt idx="5">
                  <c:v>0.32099690793031838</c:v>
                </c:pt>
                <c:pt idx="6">
                  <c:v>0.33369565436075782</c:v>
                </c:pt>
                <c:pt idx="7">
                  <c:v>0.33640898644535705</c:v>
                </c:pt>
                <c:pt idx="8">
                  <c:v>0.34427726070245784</c:v>
                </c:pt>
                <c:pt idx="9">
                  <c:v>0.35287121917398723</c:v>
                </c:pt>
                <c:pt idx="10">
                  <c:v>0.36021787630102992</c:v>
                </c:pt>
                <c:pt idx="11">
                  <c:v>0.37096287248247362</c:v>
                </c:pt>
              </c:numCache>
            </c:numRef>
          </c:val>
          <c:smooth val="0"/>
        </c:ser>
        <c:ser>
          <c:idx val="4"/>
          <c:order val="4"/>
          <c:tx>
            <c:strRef>
              <c:f>'V-g12'!$A$8</c:f>
              <c:strCache>
                <c:ptCount val="1"/>
                <c:pt idx="0">
                  <c:v> Ensemble CSBM</c:v>
                </c:pt>
              </c:strCache>
            </c:strRef>
          </c:tx>
          <c:spPr>
            <a:ln>
              <a:solidFill>
                <a:schemeClr val="bg1">
                  <a:lumMod val="50000"/>
                </a:schemeClr>
              </a:solidFill>
            </a:ln>
          </c:spPr>
          <c:marker>
            <c:symbol val="circle"/>
            <c:size val="7"/>
            <c:spPr>
              <a:noFill/>
              <a:ln>
                <a:solidFill>
                  <a:prstClr val="white">
                    <a:lumMod val="50000"/>
                  </a:prstClr>
                </a:solidFill>
              </a:ln>
            </c:spPr>
          </c:marker>
          <c:dPt>
            <c:idx val="11"/>
            <c:marker>
              <c:symbol val="circle"/>
              <c:size val="5"/>
              <c:spPr>
                <a:solidFill>
                  <a:schemeClr val="bg1">
                    <a:lumMod val="75000"/>
                  </a:schemeClr>
                </a:solidFill>
                <a:ln>
                  <a:solidFill>
                    <a:schemeClr val="tx1">
                      <a:lumMod val="85000"/>
                      <a:lumOff val="15000"/>
                    </a:schemeClr>
                  </a:solidFill>
                </a:ln>
              </c:spPr>
            </c:marker>
            <c:bubble3D val="0"/>
          </c:dPt>
          <c:dLbls>
            <c:dLbl>
              <c:idx val="11"/>
              <c:layout>
                <c:manualLayout>
                  <c:x val="-9.2272202998847468E-3"/>
                  <c:y val="2.7777777777778078E-2"/>
                </c:manualLayout>
              </c:layout>
              <c:spPr/>
              <c:txPr>
                <a:bodyPr/>
                <a:lstStyle/>
                <a:p>
                  <a:pPr>
                    <a:defRPr b="1">
                      <a:solidFill>
                        <a:schemeClr val="tx1">
                          <a:lumMod val="85000"/>
                          <a:lumOff val="15000"/>
                        </a:schemeClr>
                      </a:solidFill>
                    </a:defRPr>
                  </a:pPr>
                  <a:endParaRPr lang="fr-FR"/>
                </a:p>
              </c:txPr>
              <c:showLegendKey val="0"/>
              <c:showVal val="1"/>
              <c:showCatName val="0"/>
              <c:showSerName val="0"/>
              <c:showPercent val="0"/>
              <c:showBubbleSize val="0"/>
            </c:dLbl>
            <c:showLegendKey val="0"/>
            <c:showVal val="0"/>
            <c:showCatName val="0"/>
            <c:showSerName val="0"/>
            <c:showPercent val="0"/>
            <c:showBubbleSize val="0"/>
          </c:dLbls>
          <c:cat>
            <c:numRef>
              <c:f>'V-g12'!$B$3:$M$3</c:f>
              <c:numCache>
                <c:formatCode>00</c:formatCode>
                <c:ptCount val="12"/>
                <c:pt idx="0">
                  <c:v>0</c:v>
                </c:pt>
                <c:pt idx="1">
                  <c:v>1</c:v>
                </c:pt>
                <c:pt idx="2">
                  <c:v>2</c:v>
                </c:pt>
                <c:pt idx="3">
                  <c:v>3</c:v>
                </c:pt>
                <c:pt idx="4">
                  <c:v>4</c:v>
                </c:pt>
                <c:pt idx="5">
                  <c:v>5</c:v>
                </c:pt>
                <c:pt idx="6">
                  <c:v>6</c:v>
                </c:pt>
                <c:pt idx="7">
                  <c:v>7</c:v>
                </c:pt>
                <c:pt idx="8">
                  <c:v>8</c:v>
                </c:pt>
                <c:pt idx="9">
                  <c:v>9</c:v>
                </c:pt>
                <c:pt idx="10">
                  <c:v>10</c:v>
                </c:pt>
                <c:pt idx="11">
                  <c:v>11</c:v>
                </c:pt>
              </c:numCache>
            </c:numRef>
          </c:cat>
          <c:val>
            <c:numRef>
              <c:f>'V-g12'!$B$8:$M$8</c:f>
              <c:numCache>
                <c:formatCode>0.0%</c:formatCode>
                <c:ptCount val="12"/>
                <c:pt idx="0">
                  <c:v>0.12359517108461046</c:v>
                </c:pt>
                <c:pt idx="1">
                  <c:v>0.12270715930058819</c:v>
                </c:pt>
                <c:pt idx="2">
                  <c:v>0.12566038143506891</c:v>
                </c:pt>
                <c:pt idx="3">
                  <c:v>0.12701656622814833</c:v>
                </c:pt>
                <c:pt idx="4">
                  <c:v>0.12904132225976814</c:v>
                </c:pt>
                <c:pt idx="5">
                  <c:v>0.12968105327524335</c:v>
                </c:pt>
                <c:pt idx="6">
                  <c:v>0.13000578285587591</c:v>
                </c:pt>
                <c:pt idx="7">
                  <c:v>0.13105325986402591</c:v>
                </c:pt>
                <c:pt idx="8">
                  <c:v>0.13324618274259301</c:v>
                </c:pt>
                <c:pt idx="9">
                  <c:v>0.13371058267506444</c:v>
                </c:pt>
                <c:pt idx="10">
                  <c:v>0.13452902200610156</c:v>
                </c:pt>
                <c:pt idx="11">
                  <c:v>0.13666305224430916</c:v>
                </c:pt>
              </c:numCache>
            </c:numRef>
          </c:val>
          <c:smooth val="0"/>
        </c:ser>
        <c:ser>
          <c:idx val="5"/>
          <c:order val="5"/>
          <c:tx>
            <c:strRef>
              <c:f>'V-g12'!$A$9</c:f>
              <c:strCache>
                <c:ptCount val="1"/>
                <c:pt idx="0">
                  <c:v> Soins en cabinet dentaire</c:v>
                </c:pt>
              </c:strCache>
            </c:strRef>
          </c:tx>
          <c:spPr>
            <a:ln>
              <a:prstDash val="sysDash"/>
            </a:ln>
          </c:spPr>
          <c:marker>
            <c:symbol val="none"/>
          </c:marker>
          <c:dPt>
            <c:idx val="11"/>
            <c:marker>
              <c:symbol val="circle"/>
              <c:size val="5"/>
              <c:spPr>
                <a:solidFill>
                  <a:schemeClr val="accent6">
                    <a:lumMod val="60000"/>
                    <a:lumOff val="40000"/>
                  </a:schemeClr>
                </a:solidFill>
                <a:ln>
                  <a:solidFill>
                    <a:schemeClr val="accent6">
                      <a:lumMod val="50000"/>
                    </a:schemeClr>
                  </a:solidFill>
                </a:ln>
              </c:spPr>
            </c:marker>
            <c:bubble3D val="0"/>
          </c:dPt>
          <c:dLbls>
            <c:dLbl>
              <c:idx val="11"/>
              <c:layout>
                <c:manualLayout>
                  <c:x val="-2.3068050749712392E-3"/>
                  <c:y val="-4.1666666666666664E-2"/>
                </c:manualLayout>
              </c:layout>
              <c:tx>
                <c:rich>
                  <a:bodyPr/>
                  <a:lstStyle/>
                  <a:p>
                    <a:r>
                      <a:rPr lang="en-US" b="1">
                        <a:solidFill>
                          <a:schemeClr val="accent6">
                            <a:lumMod val="50000"/>
                          </a:schemeClr>
                        </a:solidFill>
                      </a:rPr>
                      <a:t>38,3%</a:t>
                    </a:r>
                  </a:p>
                </c:rich>
              </c:tx>
              <c:showLegendKey val="0"/>
              <c:showVal val="1"/>
              <c:showCatName val="0"/>
              <c:showSerName val="0"/>
              <c:showPercent val="0"/>
              <c:showBubbleSize val="0"/>
            </c:dLbl>
            <c:showLegendKey val="0"/>
            <c:showVal val="0"/>
            <c:showCatName val="0"/>
            <c:showSerName val="0"/>
            <c:showPercent val="0"/>
            <c:showBubbleSize val="0"/>
          </c:dLbls>
          <c:cat>
            <c:numRef>
              <c:f>'V-g12'!$B$3:$M$3</c:f>
              <c:numCache>
                <c:formatCode>00</c:formatCode>
                <c:ptCount val="12"/>
                <c:pt idx="0">
                  <c:v>0</c:v>
                </c:pt>
                <c:pt idx="1">
                  <c:v>1</c:v>
                </c:pt>
                <c:pt idx="2">
                  <c:v>2</c:v>
                </c:pt>
                <c:pt idx="3">
                  <c:v>3</c:v>
                </c:pt>
                <c:pt idx="4">
                  <c:v>4</c:v>
                </c:pt>
                <c:pt idx="5">
                  <c:v>5</c:v>
                </c:pt>
                <c:pt idx="6">
                  <c:v>6</c:v>
                </c:pt>
                <c:pt idx="7">
                  <c:v>7</c:v>
                </c:pt>
                <c:pt idx="8">
                  <c:v>8</c:v>
                </c:pt>
                <c:pt idx="9">
                  <c:v>9</c:v>
                </c:pt>
                <c:pt idx="10">
                  <c:v>10</c:v>
                </c:pt>
                <c:pt idx="11">
                  <c:v>11</c:v>
                </c:pt>
              </c:numCache>
            </c:numRef>
          </c:cat>
          <c:val>
            <c:numRef>
              <c:f>'V-g12'!$B$9:$M$9</c:f>
              <c:numCache>
                <c:formatCode>0.0%</c:formatCode>
                <c:ptCount val="12"/>
                <c:pt idx="0">
                  <c:v>0.32400000000000118</c:v>
                </c:pt>
                <c:pt idx="1">
                  <c:v>0.31900000000000117</c:v>
                </c:pt>
                <c:pt idx="2">
                  <c:v>0.36100000000000032</c:v>
                </c:pt>
                <c:pt idx="3">
                  <c:v>0.36600000000000038</c:v>
                </c:pt>
                <c:pt idx="4">
                  <c:v>0.36400000000000032</c:v>
                </c:pt>
                <c:pt idx="5">
                  <c:v>0.35800000000000032</c:v>
                </c:pt>
                <c:pt idx="6">
                  <c:v>0.35400000000000031</c:v>
                </c:pt>
                <c:pt idx="7">
                  <c:v>0.35600000000000032</c:v>
                </c:pt>
                <c:pt idx="8">
                  <c:v>0.37200000000000111</c:v>
                </c:pt>
                <c:pt idx="9">
                  <c:v>0.37600000000000106</c:v>
                </c:pt>
                <c:pt idx="10">
                  <c:v>0.38200000000000117</c:v>
                </c:pt>
                <c:pt idx="11">
                  <c:v>0.38300000000000117</c:v>
                </c:pt>
              </c:numCache>
            </c:numRef>
          </c:val>
          <c:smooth val="0"/>
        </c:ser>
        <c:dLbls>
          <c:showLegendKey val="0"/>
          <c:showVal val="0"/>
          <c:showCatName val="0"/>
          <c:showSerName val="0"/>
          <c:showPercent val="0"/>
          <c:showBubbleSize val="0"/>
        </c:dLbls>
        <c:marker val="1"/>
        <c:smooth val="0"/>
        <c:axId val="85525632"/>
        <c:axId val="85527168"/>
      </c:lineChart>
      <c:catAx>
        <c:axId val="85525632"/>
        <c:scaling>
          <c:orientation val="minMax"/>
        </c:scaling>
        <c:delete val="0"/>
        <c:axPos val="b"/>
        <c:numFmt formatCode="00" sourceLinked="1"/>
        <c:majorTickMark val="out"/>
        <c:minorTickMark val="none"/>
        <c:tickLblPos val="nextTo"/>
        <c:spPr>
          <a:ln>
            <a:solidFill>
              <a:schemeClr val="tx1">
                <a:lumMod val="85000"/>
                <a:lumOff val="15000"/>
              </a:schemeClr>
            </a:solidFill>
          </a:ln>
        </c:spPr>
        <c:crossAx val="85527168"/>
        <c:crosses val="autoZero"/>
        <c:auto val="1"/>
        <c:lblAlgn val="ctr"/>
        <c:lblOffset val="100"/>
        <c:noMultiLvlLbl val="0"/>
      </c:catAx>
      <c:valAx>
        <c:axId val="85527168"/>
        <c:scaling>
          <c:orientation val="minMax"/>
        </c:scaling>
        <c:delete val="0"/>
        <c:axPos val="l"/>
        <c:majorGridlines>
          <c:spPr>
            <a:ln>
              <a:solidFill>
                <a:schemeClr val="bg1">
                  <a:lumMod val="85000"/>
                </a:schemeClr>
              </a:solidFill>
            </a:ln>
          </c:spPr>
        </c:majorGridlines>
        <c:numFmt formatCode="0%" sourceLinked="0"/>
        <c:majorTickMark val="out"/>
        <c:minorTickMark val="none"/>
        <c:tickLblPos val="nextTo"/>
        <c:spPr>
          <a:ln>
            <a:noFill/>
          </a:ln>
        </c:spPr>
        <c:crossAx val="85525632"/>
        <c:crosses val="autoZero"/>
        <c:crossBetween val="midCat"/>
      </c:valAx>
      <c:spPr>
        <a:ln>
          <a:solidFill>
            <a:schemeClr val="bg1">
              <a:lumMod val="85000"/>
            </a:schemeClr>
          </a:solidFill>
        </a:ln>
      </c:spPr>
    </c:plotArea>
    <c:legend>
      <c:legendPos val="r"/>
      <c:layout>
        <c:manualLayout>
          <c:xMode val="edge"/>
          <c:yMode val="edge"/>
          <c:x val="5.0020615935119098E-2"/>
          <c:y val="6.5816646015695655E-4"/>
          <c:w val="0.93686274509803857"/>
          <c:h val="0.15403660861610541"/>
        </c:manualLayout>
      </c:layout>
      <c:overlay val="0"/>
    </c:legend>
    <c:plotVisOnly val="1"/>
    <c:dispBlanksAs val="gap"/>
    <c:showDLblsOverMax val="0"/>
  </c:chart>
  <c:spPr>
    <a:ln>
      <a:noFill/>
    </a:ln>
  </c:spPr>
  <c:txPr>
    <a:bodyPr/>
    <a:lstStyle/>
    <a:p>
      <a:pPr>
        <a:defRPr sz="900">
          <a:solidFill>
            <a:schemeClr val="tx1">
              <a:lumMod val="85000"/>
              <a:lumOff val="15000"/>
            </a:schemeClr>
          </a:solidFill>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127600575351811E-2"/>
          <c:y val="3.3484332976896652E-2"/>
          <c:w val="0.85661699067277663"/>
          <c:h val="0.83454500286229705"/>
        </c:manualLayout>
      </c:layout>
      <c:barChart>
        <c:barDir val="col"/>
        <c:grouping val="clustered"/>
        <c:varyColors val="0"/>
        <c:ser>
          <c:idx val="0"/>
          <c:order val="0"/>
          <c:tx>
            <c:strRef>
              <c:f>Data!$A$12</c:f>
              <c:strCache>
                <c:ptCount val="1"/>
                <c:pt idx="0">
                  <c:v>Déficit public</c:v>
                </c:pt>
              </c:strCache>
            </c:strRef>
          </c:tx>
          <c:spPr>
            <a:solidFill>
              <a:schemeClr val="bg1">
                <a:lumMod val="75000"/>
              </a:schemeClr>
            </a:solidFill>
          </c:spPr>
          <c:invertIfNegative val="0"/>
          <c:dPt>
            <c:idx val="17"/>
            <c:invertIfNegative val="0"/>
            <c:bubble3D val="0"/>
            <c:spPr>
              <a:solidFill>
                <a:srgbClr val="7A003C"/>
              </a:solidFill>
            </c:spPr>
          </c:dPt>
          <c:dPt>
            <c:idx val="18"/>
            <c:invertIfNegative val="0"/>
            <c:bubble3D val="0"/>
            <c:spPr>
              <a:solidFill>
                <a:srgbClr val="7A003C"/>
              </a:solidFill>
            </c:spPr>
          </c:dPt>
          <c:dPt>
            <c:idx val="19"/>
            <c:invertIfNegative val="0"/>
            <c:bubble3D val="0"/>
            <c:spPr>
              <a:solidFill>
                <a:srgbClr val="7A003C"/>
              </a:solidFill>
            </c:spPr>
          </c:dPt>
          <c:dPt>
            <c:idx val="20"/>
            <c:invertIfNegative val="0"/>
            <c:bubble3D val="0"/>
            <c:spPr>
              <a:solidFill>
                <a:srgbClr val="7A003C"/>
              </a:solidFill>
            </c:spPr>
          </c:dPt>
          <c:dPt>
            <c:idx val="21"/>
            <c:invertIfNegative val="0"/>
            <c:bubble3D val="0"/>
            <c:spPr>
              <a:solidFill>
                <a:srgbClr val="7A003C"/>
              </a:solidFill>
            </c:spPr>
          </c:dPt>
          <c:dLbls>
            <c:dLbl>
              <c:idx val="21"/>
              <c:layout>
                <c:manualLayout>
                  <c:x val="5.6497175141243104E-2"/>
                  <c:y val="7.8787878787878782E-2"/>
                </c:manualLayout>
              </c:layout>
              <c:tx>
                <c:rich>
                  <a:bodyPr/>
                  <a:lstStyle/>
                  <a:p>
                    <a:pPr>
                      <a:defRPr b="1">
                        <a:solidFill>
                          <a:srgbClr val="7A003C"/>
                        </a:solidFill>
                      </a:defRPr>
                    </a:pPr>
                    <a:r>
                      <a:rPr lang="en-US" b="1">
                        <a:solidFill>
                          <a:srgbClr val="7A003C"/>
                        </a:solidFill>
                      </a:rPr>
                      <a:t>0%</a:t>
                    </a:r>
                  </a:p>
                </c:rich>
              </c:tx>
              <c:spPr/>
              <c:showLegendKey val="0"/>
              <c:showVal val="1"/>
              <c:showCatName val="0"/>
              <c:showSerName val="0"/>
              <c:showPercent val="0"/>
              <c:showBubbleSize val="0"/>
            </c:dLbl>
            <c:showLegendKey val="0"/>
            <c:showVal val="0"/>
            <c:showCatName val="0"/>
            <c:showSerName val="0"/>
            <c:showPercent val="0"/>
            <c:showBubbleSize val="0"/>
          </c:dLbls>
          <c:cat>
            <c:numRef>
              <c:f>Data!$B$11:$X$11</c:f>
              <c:numCache>
                <c:formatCode>General</c:formatCode>
                <c:ptCount val="23"/>
                <c:pt idx="0">
                  <c:v>95</c:v>
                </c:pt>
                <c:pt idx="1">
                  <c:v>96</c:v>
                </c:pt>
                <c:pt idx="2">
                  <c:v>97</c:v>
                </c:pt>
                <c:pt idx="3">
                  <c:v>98</c:v>
                </c:pt>
                <c:pt idx="4">
                  <c:v>99</c:v>
                </c:pt>
                <c:pt idx="5" formatCode="00">
                  <c:v>0</c:v>
                </c:pt>
                <c:pt idx="6" formatCode="00">
                  <c:v>1</c:v>
                </c:pt>
                <c:pt idx="7" formatCode="00">
                  <c:v>2</c:v>
                </c:pt>
                <c:pt idx="8" formatCode="00">
                  <c:v>3</c:v>
                </c:pt>
                <c:pt idx="9" formatCode="00">
                  <c:v>4</c:v>
                </c:pt>
                <c:pt idx="10" formatCode="00">
                  <c:v>5</c:v>
                </c:pt>
                <c:pt idx="11" formatCode="00">
                  <c:v>6</c:v>
                </c:pt>
                <c:pt idx="12" formatCode="00">
                  <c:v>7</c:v>
                </c:pt>
                <c:pt idx="13" formatCode="00">
                  <c:v>8</c:v>
                </c:pt>
                <c:pt idx="14" formatCode="00">
                  <c:v>9</c:v>
                </c:pt>
                <c:pt idx="15" formatCode="00">
                  <c:v>10</c:v>
                </c:pt>
                <c:pt idx="16" formatCode="00">
                  <c:v>11</c:v>
                </c:pt>
                <c:pt idx="17" formatCode="00">
                  <c:v>12</c:v>
                </c:pt>
                <c:pt idx="18" formatCode="00">
                  <c:v>13</c:v>
                </c:pt>
                <c:pt idx="19" formatCode="00">
                  <c:v>14</c:v>
                </c:pt>
                <c:pt idx="20" formatCode="00">
                  <c:v>15</c:v>
                </c:pt>
                <c:pt idx="21" formatCode="00">
                  <c:v>16</c:v>
                </c:pt>
                <c:pt idx="22" formatCode="00">
                  <c:v>17</c:v>
                </c:pt>
              </c:numCache>
            </c:numRef>
          </c:cat>
          <c:val>
            <c:numRef>
              <c:f>Data!$B$12:$X$12</c:f>
              <c:numCache>
                <c:formatCode>#,##0.0</c:formatCode>
                <c:ptCount val="23"/>
                <c:pt idx="0">
                  <c:v>-5.5</c:v>
                </c:pt>
                <c:pt idx="1">
                  <c:v>-4</c:v>
                </c:pt>
                <c:pt idx="2">
                  <c:v>-3.3</c:v>
                </c:pt>
                <c:pt idx="3">
                  <c:v>-2.6</c:v>
                </c:pt>
                <c:pt idx="4">
                  <c:v>-1.8</c:v>
                </c:pt>
                <c:pt idx="5">
                  <c:v>-1.5</c:v>
                </c:pt>
                <c:pt idx="6">
                  <c:v>-1.5</c:v>
                </c:pt>
                <c:pt idx="7">
                  <c:v>-3.1</c:v>
                </c:pt>
                <c:pt idx="8">
                  <c:v>-4.0999999999999996</c:v>
                </c:pt>
                <c:pt idx="9">
                  <c:v>-3.6</c:v>
                </c:pt>
                <c:pt idx="10">
                  <c:v>-2.9</c:v>
                </c:pt>
                <c:pt idx="11">
                  <c:v>-2.2999999999999998</c:v>
                </c:pt>
                <c:pt idx="12">
                  <c:v>-2.7</c:v>
                </c:pt>
                <c:pt idx="13">
                  <c:v>-3.3</c:v>
                </c:pt>
                <c:pt idx="14">
                  <c:v>-7.5</c:v>
                </c:pt>
                <c:pt idx="15">
                  <c:v>-7.1</c:v>
                </c:pt>
                <c:pt idx="16">
                  <c:v>-5.2</c:v>
                </c:pt>
                <c:pt idx="17">
                  <c:v>-4.5</c:v>
                </c:pt>
                <c:pt idx="18">
                  <c:v>-3</c:v>
                </c:pt>
                <c:pt idx="19">
                  <c:v>-2.2999999999999998</c:v>
                </c:pt>
                <c:pt idx="20">
                  <c:v>-1.6</c:v>
                </c:pt>
                <c:pt idx="21">
                  <c:v>-0.8</c:v>
                </c:pt>
                <c:pt idx="22">
                  <c:v>0</c:v>
                </c:pt>
              </c:numCache>
            </c:numRef>
          </c:val>
        </c:ser>
        <c:dLbls>
          <c:showLegendKey val="0"/>
          <c:showVal val="0"/>
          <c:showCatName val="0"/>
          <c:showSerName val="0"/>
          <c:showPercent val="0"/>
          <c:showBubbleSize val="0"/>
        </c:dLbls>
        <c:gapWidth val="33"/>
        <c:axId val="84858368"/>
        <c:axId val="84859904"/>
      </c:barChart>
      <c:catAx>
        <c:axId val="84858368"/>
        <c:scaling>
          <c:orientation val="minMax"/>
        </c:scaling>
        <c:delete val="0"/>
        <c:axPos val="b"/>
        <c:numFmt formatCode="General" sourceLinked="1"/>
        <c:majorTickMark val="none"/>
        <c:minorTickMark val="none"/>
        <c:tickLblPos val="low"/>
        <c:spPr>
          <a:ln>
            <a:solidFill>
              <a:schemeClr val="tx1">
                <a:lumMod val="85000"/>
                <a:lumOff val="15000"/>
              </a:schemeClr>
            </a:solidFill>
          </a:ln>
        </c:spPr>
        <c:crossAx val="84859904"/>
        <c:crosses val="autoZero"/>
        <c:auto val="1"/>
        <c:lblAlgn val="ctr"/>
        <c:lblOffset val="100"/>
        <c:tickLblSkip val="2"/>
        <c:tickMarkSkip val="2"/>
        <c:noMultiLvlLbl val="0"/>
      </c:catAx>
      <c:valAx>
        <c:axId val="84859904"/>
        <c:scaling>
          <c:orientation val="minMax"/>
        </c:scaling>
        <c:delete val="0"/>
        <c:axPos val="l"/>
        <c:majorGridlines>
          <c:spPr>
            <a:ln>
              <a:solidFill>
                <a:schemeClr val="bg1">
                  <a:lumMod val="85000"/>
                </a:schemeClr>
              </a:solidFill>
            </a:ln>
          </c:spPr>
        </c:majorGridlines>
        <c:numFmt formatCode="#,##0" sourceLinked="0"/>
        <c:majorTickMark val="out"/>
        <c:minorTickMark val="none"/>
        <c:tickLblPos val="nextTo"/>
        <c:spPr>
          <a:ln>
            <a:noFill/>
          </a:ln>
        </c:spPr>
        <c:crossAx val="84858368"/>
        <c:crosses val="autoZero"/>
        <c:crossBetween val="between"/>
      </c:valAx>
      <c:spPr>
        <a:ln>
          <a:solidFill>
            <a:schemeClr val="bg1">
              <a:lumMod val="85000"/>
            </a:schemeClr>
          </a:solidFill>
        </a:ln>
      </c:spPr>
    </c:plotArea>
    <c:plotVisOnly val="1"/>
    <c:dispBlanksAs val="gap"/>
    <c:showDLblsOverMax val="0"/>
  </c:chart>
  <c:spPr>
    <a:ln>
      <a:noFill/>
    </a:ln>
  </c:spPr>
  <c:txPr>
    <a:bodyPr/>
    <a:lstStyle/>
    <a:p>
      <a:pPr>
        <a:defRPr sz="900">
          <a:solidFill>
            <a:schemeClr val="tx1">
              <a:lumMod val="85000"/>
              <a:lumOff val="15000"/>
            </a:schemeClr>
          </a:solidFill>
        </a:defRPr>
      </a:pPr>
      <a:endParaRPr lang="fr-FR"/>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'[SANTE 2011.xlsx]graph 7'!$D$4</c:f>
              <c:strCache>
                <c:ptCount val="1"/>
                <c:pt idx="0">
                  <c:v> État</c:v>
                </c:pt>
              </c:strCache>
            </c:strRef>
          </c:tx>
          <c:spPr>
            <a:solidFill>
              <a:schemeClr val="bg1">
                <a:lumMod val="65000"/>
              </a:schemeClr>
            </a:solidFill>
            <a:ln>
              <a:noFill/>
            </a:ln>
          </c:spPr>
          <c:invertIfNegative val="0"/>
          <c:cat>
            <c:strRef>
              <c:f>'[SANTE 2011.xlsx]graph 7'!$C$5:$C$26</c:f>
              <c:strCache>
                <c:ptCount val="22"/>
                <c:pt idx="0">
                  <c:v>Pays-Bas</c:v>
                </c:pt>
                <c:pt idx="1">
                  <c:v>Norvège</c:v>
                </c:pt>
                <c:pt idx="2">
                  <c:v>Danemark</c:v>
                </c:pt>
                <c:pt idx="3">
                  <c:v>Luxembourg *</c:v>
                </c:pt>
                <c:pt idx="4">
                  <c:v>Rép. tchèque</c:v>
                </c:pt>
                <c:pt idx="5">
                  <c:v>Suède</c:v>
                </c:pt>
                <c:pt idx="6">
                  <c:v>Japon*</c:v>
                </c:pt>
                <c:pt idx="7">
                  <c:v>France</c:v>
                </c:pt>
                <c:pt idx="8">
                  <c:v>Allemagne</c:v>
                </c:pt>
                <c:pt idx="9">
                  <c:v>Autriche</c:v>
                </c:pt>
                <c:pt idx="10">
                  <c:v>Belgique</c:v>
                </c:pt>
                <c:pt idx="11">
                  <c:v>Finlande</c:v>
                </c:pt>
                <c:pt idx="12">
                  <c:v>Espagne*</c:v>
                </c:pt>
                <c:pt idx="13">
                  <c:v>Pologne</c:v>
                </c:pt>
                <c:pt idx="14">
                  <c:v>Canada</c:v>
                </c:pt>
                <c:pt idx="15">
                  <c:v>Australie*</c:v>
                </c:pt>
                <c:pt idx="16">
                  <c:v>Rép. slovaque</c:v>
                </c:pt>
                <c:pt idx="17">
                  <c:v>Portugal</c:v>
                </c:pt>
                <c:pt idx="18">
                  <c:v>Suisse</c:v>
                </c:pt>
                <c:pt idx="19">
                  <c:v>Hongrie</c:v>
                </c:pt>
                <c:pt idx="20">
                  <c:v>Corée</c:v>
                </c:pt>
                <c:pt idx="21">
                  <c:v>États-Unis</c:v>
                </c:pt>
              </c:strCache>
            </c:strRef>
          </c:cat>
          <c:val>
            <c:numRef>
              <c:f>'[SANTE 2011.xlsx]graph 7'!$D$5:$D$26</c:f>
              <c:numCache>
                <c:formatCode>0.0</c:formatCode>
                <c:ptCount val="22"/>
                <c:pt idx="0">
                  <c:v>8.5309999999999988</c:v>
                </c:pt>
                <c:pt idx="1">
                  <c:v>73.348399999999998</c:v>
                </c:pt>
                <c:pt idx="2">
                  <c:v>84.562600000000003</c:v>
                </c:pt>
                <c:pt idx="3">
                  <c:v>15.9984</c:v>
                </c:pt>
                <c:pt idx="4">
                  <c:v>5.4157999999999999</c:v>
                </c:pt>
                <c:pt idx="5">
                  <c:v>81.080299999999994</c:v>
                </c:pt>
                <c:pt idx="6">
                  <c:v>8.5946000000000016</c:v>
                </c:pt>
                <c:pt idx="7">
                  <c:v>3.8517999999999977</c:v>
                </c:pt>
                <c:pt idx="8">
                  <c:v>6.7447999999999997</c:v>
                </c:pt>
                <c:pt idx="9">
                  <c:v>32.340599999999995</c:v>
                </c:pt>
                <c:pt idx="10">
                  <c:v>10.930100000000001</c:v>
                </c:pt>
                <c:pt idx="11">
                  <c:v>58.912100000000002</c:v>
                </c:pt>
                <c:pt idx="12">
                  <c:v>68.642600000000002</c:v>
                </c:pt>
                <c:pt idx="13">
                  <c:v>5.8952</c:v>
                </c:pt>
                <c:pt idx="14">
                  <c:v>68.776499999999999</c:v>
                </c:pt>
                <c:pt idx="15">
                  <c:v>68.971599999999995</c:v>
                </c:pt>
                <c:pt idx="16">
                  <c:v>6.3743999999999996</c:v>
                </c:pt>
                <c:pt idx="17">
                  <c:v>65.9756</c:v>
                </c:pt>
                <c:pt idx="18">
                  <c:v>18.948399999999669</c:v>
                </c:pt>
                <c:pt idx="19">
                  <c:v>8.5564000000000267</c:v>
                </c:pt>
                <c:pt idx="20">
                  <c:v>12.040900000000001</c:v>
                </c:pt>
                <c:pt idx="21">
                  <c:v>5.8441999999999945</c:v>
                </c:pt>
              </c:numCache>
            </c:numRef>
          </c:val>
        </c:ser>
        <c:ser>
          <c:idx val="1"/>
          <c:order val="1"/>
          <c:tx>
            <c:strRef>
              <c:f>'[SANTE 2011.xlsx]graph 7'!$E$4</c:f>
              <c:strCache>
                <c:ptCount val="1"/>
                <c:pt idx="0">
                  <c:v> Sécurité sociale</c:v>
                </c:pt>
              </c:strCache>
            </c:strRef>
          </c:tx>
          <c:spPr>
            <a:solidFill>
              <a:schemeClr val="bg1">
                <a:lumMod val="75000"/>
              </a:schemeClr>
            </a:solidFill>
            <a:ln>
              <a:noFill/>
            </a:ln>
          </c:spPr>
          <c:invertIfNegative val="0"/>
          <c:cat>
            <c:strRef>
              <c:f>'[SANTE 2011.xlsx]graph 7'!$C$5:$C$26</c:f>
              <c:strCache>
                <c:ptCount val="22"/>
                <c:pt idx="0">
                  <c:v>Pays-Bas</c:v>
                </c:pt>
                <c:pt idx="1">
                  <c:v>Norvège</c:v>
                </c:pt>
                <c:pt idx="2">
                  <c:v>Danemark</c:v>
                </c:pt>
                <c:pt idx="3">
                  <c:v>Luxembourg *</c:v>
                </c:pt>
                <c:pt idx="4">
                  <c:v>Rép. tchèque</c:v>
                </c:pt>
                <c:pt idx="5">
                  <c:v>Suède</c:v>
                </c:pt>
                <c:pt idx="6">
                  <c:v>Japon*</c:v>
                </c:pt>
                <c:pt idx="7">
                  <c:v>France</c:v>
                </c:pt>
                <c:pt idx="8">
                  <c:v>Allemagne</c:v>
                </c:pt>
                <c:pt idx="9">
                  <c:v>Autriche</c:v>
                </c:pt>
                <c:pt idx="10">
                  <c:v>Belgique</c:v>
                </c:pt>
                <c:pt idx="11">
                  <c:v>Finlande</c:v>
                </c:pt>
                <c:pt idx="12">
                  <c:v>Espagne*</c:v>
                </c:pt>
                <c:pt idx="13">
                  <c:v>Pologne</c:v>
                </c:pt>
                <c:pt idx="14">
                  <c:v>Canada</c:v>
                </c:pt>
                <c:pt idx="15">
                  <c:v>Australie*</c:v>
                </c:pt>
                <c:pt idx="16">
                  <c:v>Rép. slovaque</c:v>
                </c:pt>
                <c:pt idx="17">
                  <c:v>Portugal</c:v>
                </c:pt>
                <c:pt idx="18">
                  <c:v>Suisse</c:v>
                </c:pt>
                <c:pt idx="19">
                  <c:v>Hongrie</c:v>
                </c:pt>
                <c:pt idx="20">
                  <c:v>Corée</c:v>
                </c:pt>
                <c:pt idx="21">
                  <c:v>États-Unis</c:v>
                </c:pt>
              </c:strCache>
            </c:strRef>
          </c:cat>
          <c:val>
            <c:numRef>
              <c:f>'[SANTE 2011.xlsx]graph 7'!$E$5:$E$26</c:f>
              <c:numCache>
                <c:formatCode>0.0</c:formatCode>
                <c:ptCount val="22"/>
                <c:pt idx="0">
                  <c:v>77.1511</c:v>
                </c:pt>
                <c:pt idx="1">
                  <c:v>12.1831</c:v>
                </c:pt>
                <c:pt idx="2">
                  <c:v>0</c:v>
                </c:pt>
                <c:pt idx="3">
                  <c:v>68.023499999999999</c:v>
                </c:pt>
                <c:pt idx="4">
                  <c:v>77.917200000001046</c:v>
                </c:pt>
                <c:pt idx="5">
                  <c:v>0</c:v>
                </c:pt>
                <c:pt idx="6">
                  <c:v>71.555799999999948</c:v>
                </c:pt>
                <c:pt idx="7">
                  <c:v>73.715900000000005</c:v>
                </c:pt>
                <c:pt idx="8">
                  <c:v>70.522999999999982</c:v>
                </c:pt>
                <c:pt idx="9">
                  <c:v>44.789500000000011</c:v>
                </c:pt>
                <c:pt idx="10">
                  <c:v>64.654899999999998</c:v>
                </c:pt>
                <c:pt idx="11">
                  <c:v>15.226000000000001</c:v>
                </c:pt>
                <c:pt idx="12">
                  <c:v>4.5795000000000003</c:v>
                </c:pt>
                <c:pt idx="13">
                  <c:v>66.287800000000004</c:v>
                </c:pt>
                <c:pt idx="14">
                  <c:v>1.4363999999999864</c:v>
                </c:pt>
                <c:pt idx="15">
                  <c:v>0</c:v>
                </c:pt>
                <c:pt idx="16">
                  <c:v>61.442300000000003</c:v>
                </c:pt>
                <c:pt idx="17">
                  <c:v>1.2951999999999864</c:v>
                </c:pt>
                <c:pt idx="18">
                  <c:v>46.267300000000013</c:v>
                </c:pt>
                <c:pt idx="19">
                  <c:v>55.690500000000213</c:v>
                </c:pt>
                <c:pt idx="20">
                  <c:v>47.538200000000003</c:v>
                </c:pt>
                <c:pt idx="21">
                  <c:v>43.3339</c:v>
                </c:pt>
              </c:numCache>
            </c:numRef>
          </c:val>
        </c:ser>
        <c:ser>
          <c:idx val="2"/>
          <c:order val="2"/>
          <c:tx>
            <c:strRef>
              <c:f>'[SANTE 2011.xlsx]graph 7'!$F$4</c:f>
              <c:strCache>
                <c:ptCount val="1"/>
                <c:pt idx="0">
                  <c:v> Assurances privées</c:v>
                </c:pt>
              </c:strCache>
            </c:strRef>
          </c:tx>
          <c:spPr>
            <a:solidFill>
              <a:srgbClr val="7A003C"/>
            </a:solidFill>
          </c:spPr>
          <c:invertIfNegative val="0"/>
          <c:cat>
            <c:strRef>
              <c:f>'[SANTE 2011.xlsx]graph 7'!$C$5:$C$26</c:f>
              <c:strCache>
                <c:ptCount val="22"/>
                <c:pt idx="0">
                  <c:v>Pays-Bas</c:v>
                </c:pt>
                <c:pt idx="1">
                  <c:v>Norvège</c:v>
                </c:pt>
                <c:pt idx="2">
                  <c:v>Danemark</c:v>
                </c:pt>
                <c:pt idx="3">
                  <c:v>Luxembourg *</c:v>
                </c:pt>
                <c:pt idx="4">
                  <c:v>Rép. tchèque</c:v>
                </c:pt>
                <c:pt idx="5">
                  <c:v>Suède</c:v>
                </c:pt>
                <c:pt idx="6">
                  <c:v>Japon*</c:v>
                </c:pt>
                <c:pt idx="7">
                  <c:v>France</c:v>
                </c:pt>
                <c:pt idx="8">
                  <c:v>Allemagne</c:v>
                </c:pt>
                <c:pt idx="9">
                  <c:v>Autriche</c:v>
                </c:pt>
                <c:pt idx="10">
                  <c:v>Belgique</c:v>
                </c:pt>
                <c:pt idx="11">
                  <c:v>Finlande</c:v>
                </c:pt>
                <c:pt idx="12">
                  <c:v>Espagne*</c:v>
                </c:pt>
                <c:pt idx="13">
                  <c:v>Pologne</c:v>
                </c:pt>
                <c:pt idx="14">
                  <c:v>Canada</c:v>
                </c:pt>
                <c:pt idx="15">
                  <c:v>Australie*</c:v>
                </c:pt>
                <c:pt idx="16">
                  <c:v>Rép. slovaque</c:v>
                </c:pt>
                <c:pt idx="17">
                  <c:v>Portugal</c:v>
                </c:pt>
                <c:pt idx="18">
                  <c:v>Suisse</c:v>
                </c:pt>
                <c:pt idx="19">
                  <c:v>Hongrie</c:v>
                </c:pt>
                <c:pt idx="20">
                  <c:v>Corée</c:v>
                </c:pt>
                <c:pt idx="21">
                  <c:v>États-Unis</c:v>
                </c:pt>
              </c:strCache>
            </c:strRef>
          </c:cat>
          <c:val>
            <c:numRef>
              <c:f>'[SANTE 2011.xlsx]graph 7'!$F$5:$F$26</c:f>
              <c:numCache>
                <c:formatCode>0.0</c:formatCode>
                <c:ptCount val="22"/>
                <c:pt idx="0">
                  <c:v>5.1854999999999976</c:v>
                </c:pt>
                <c:pt idx="1">
                  <c:v>0</c:v>
                </c:pt>
                <c:pt idx="2">
                  <c:v>1.6685000000000001</c:v>
                </c:pt>
                <c:pt idx="3">
                  <c:v>3.1307</c:v>
                </c:pt>
                <c:pt idx="4">
                  <c:v>0.15560000000000004</c:v>
                </c:pt>
                <c:pt idx="5">
                  <c:v>0.2712</c:v>
                </c:pt>
                <c:pt idx="6">
                  <c:v>2.4889999999999999</c:v>
                </c:pt>
                <c:pt idx="7">
                  <c:v>14.1995</c:v>
                </c:pt>
                <c:pt idx="8">
                  <c:v>9.6025000000000027</c:v>
                </c:pt>
                <c:pt idx="9">
                  <c:v>4.7138999999999998</c:v>
                </c:pt>
                <c:pt idx="10">
                  <c:v>4.8163</c:v>
                </c:pt>
                <c:pt idx="11">
                  <c:v>2.2458999999999998</c:v>
                </c:pt>
                <c:pt idx="12">
                  <c:v>5.5138999999999996</c:v>
                </c:pt>
                <c:pt idx="13">
                  <c:v>0.71470000000000644</c:v>
                </c:pt>
                <c:pt idx="14">
                  <c:v>13.214600000000001</c:v>
                </c:pt>
                <c:pt idx="15">
                  <c:v>8.1788999999999987</c:v>
                </c:pt>
                <c:pt idx="16">
                  <c:v>0</c:v>
                </c:pt>
                <c:pt idx="17">
                  <c:v>4.6016000000000004</c:v>
                </c:pt>
                <c:pt idx="18">
                  <c:v>8.6446999999999985</c:v>
                </c:pt>
                <c:pt idx="19">
                  <c:v>2.5387</c:v>
                </c:pt>
                <c:pt idx="20">
                  <c:v>5.8710000000000004</c:v>
                </c:pt>
                <c:pt idx="21">
                  <c:v>34.717400000000005</c:v>
                </c:pt>
              </c:numCache>
            </c:numRef>
          </c:val>
        </c:ser>
        <c:ser>
          <c:idx val="3"/>
          <c:order val="3"/>
          <c:tx>
            <c:strRef>
              <c:f>'[SANTE 2011.xlsx]graph 7'!$G$4</c:f>
              <c:strCache>
                <c:ptCount val="1"/>
                <c:pt idx="0">
                  <c:v> Ménages</c:v>
                </c:pt>
              </c:strCache>
            </c:strRef>
          </c:tx>
          <c:spPr>
            <a:solidFill>
              <a:srgbClr val="6792C5"/>
            </a:solidFill>
          </c:spPr>
          <c:invertIfNegative val="0"/>
          <c:cat>
            <c:strRef>
              <c:f>'[SANTE 2011.xlsx]graph 7'!$C$5:$C$26</c:f>
              <c:strCache>
                <c:ptCount val="22"/>
                <c:pt idx="0">
                  <c:v>Pays-Bas</c:v>
                </c:pt>
                <c:pt idx="1">
                  <c:v>Norvège</c:v>
                </c:pt>
                <c:pt idx="2">
                  <c:v>Danemark</c:v>
                </c:pt>
                <c:pt idx="3">
                  <c:v>Luxembourg *</c:v>
                </c:pt>
                <c:pt idx="4">
                  <c:v>Rép. tchèque</c:v>
                </c:pt>
                <c:pt idx="5">
                  <c:v>Suède</c:v>
                </c:pt>
                <c:pt idx="6">
                  <c:v>Japon*</c:v>
                </c:pt>
                <c:pt idx="7">
                  <c:v>France</c:v>
                </c:pt>
                <c:pt idx="8">
                  <c:v>Allemagne</c:v>
                </c:pt>
                <c:pt idx="9">
                  <c:v>Autriche</c:v>
                </c:pt>
                <c:pt idx="10">
                  <c:v>Belgique</c:v>
                </c:pt>
                <c:pt idx="11">
                  <c:v>Finlande</c:v>
                </c:pt>
                <c:pt idx="12">
                  <c:v>Espagne*</c:v>
                </c:pt>
                <c:pt idx="13">
                  <c:v>Pologne</c:v>
                </c:pt>
                <c:pt idx="14">
                  <c:v>Canada</c:v>
                </c:pt>
                <c:pt idx="15">
                  <c:v>Australie*</c:v>
                </c:pt>
                <c:pt idx="16">
                  <c:v>Rép. slovaque</c:v>
                </c:pt>
                <c:pt idx="17">
                  <c:v>Portugal</c:v>
                </c:pt>
                <c:pt idx="18">
                  <c:v>Suisse</c:v>
                </c:pt>
                <c:pt idx="19">
                  <c:v>Hongrie</c:v>
                </c:pt>
                <c:pt idx="20">
                  <c:v>Corée</c:v>
                </c:pt>
                <c:pt idx="21">
                  <c:v>États-Unis</c:v>
                </c:pt>
              </c:strCache>
            </c:strRef>
          </c:cat>
          <c:val>
            <c:numRef>
              <c:f>'[SANTE 2011.xlsx]graph 7'!$G$5:$G$26</c:f>
              <c:numCache>
                <c:formatCode>0.0</c:formatCode>
                <c:ptCount val="22"/>
                <c:pt idx="0">
                  <c:v>5.5493000000000023</c:v>
                </c:pt>
                <c:pt idx="1">
                  <c:v>14.209999999999999</c:v>
                </c:pt>
                <c:pt idx="2">
                  <c:v>13.696</c:v>
                </c:pt>
                <c:pt idx="3">
                  <c:v>11.626900000000001</c:v>
                </c:pt>
                <c:pt idx="4">
                  <c:v>15.2509</c:v>
                </c:pt>
                <c:pt idx="5">
                  <c:v>17.754200000000001</c:v>
                </c:pt>
                <c:pt idx="6">
                  <c:v>16.279</c:v>
                </c:pt>
                <c:pt idx="7">
                  <c:v>7.5561999999999996</c:v>
                </c:pt>
                <c:pt idx="8">
                  <c:v>12.365400000000156</c:v>
                </c:pt>
                <c:pt idx="9">
                  <c:v>16.829799999999889</c:v>
                </c:pt>
                <c:pt idx="10">
                  <c:v>19.41249999999976</c:v>
                </c:pt>
                <c:pt idx="11">
                  <c:v>20.232800000000001</c:v>
                </c:pt>
                <c:pt idx="12">
                  <c:v>20.654299999999999</c:v>
                </c:pt>
                <c:pt idx="13">
                  <c:v>23.680099999999989</c:v>
                </c:pt>
                <c:pt idx="14">
                  <c:v>15.000300000000001</c:v>
                </c:pt>
                <c:pt idx="15">
                  <c:v>19.416899999999988</c:v>
                </c:pt>
                <c:pt idx="16">
                  <c:v>27.192599999999889</c:v>
                </c:pt>
                <c:pt idx="17">
                  <c:v>27.506399999999989</c:v>
                </c:pt>
                <c:pt idx="18">
                  <c:v>25.148</c:v>
                </c:pt>
                <c:pt idx="19">
                  <c:v>26.939</c:v>
                </c:pt>
                <c:pt idx="20">
                  <c:v>33.823</c:v>
                </c:pt>
                <c:pt idx="21">
                  <c:v>12.259500000000006</c:v>
                </c:pt>
              </c:numCache>
            </c:numRef>
          </c:val>
        </c:ser>
        <c:ser>
          <c:idx val="4"/>
          <c:order val="4"/>
          <c:tx>
            <c:strRef>
              <c:f>'[SANTE 2011.xlsx]graph 7'!$H$4</c:f>
              <c:strCache>
                <c:ptCount val="1"/>
                <c:pt idx="0">
                  <c:v> Autres</c:v>
                </c:pt>
              </c:strCache>
            </c:strRef>
          </c:tx>
          <c:spPr>
            <a:solidFill>
              <a:schemeClr val="accent6">
                <a:lumMod val="75000"/>
              </a:schemeClr>
            </a:solidFill>
          </c:spPr>
          <c:invertIfNegative val="0"/>
          <c:cat>
            <c:strRef>
              <c:f>'[SANTE 2011.xlsx]graph 7'!$C$5:$C$26</c:f>
              <c:strCache>
                <c:ptCount val="22"/>
                <c:pt idx="0">
                  <c:v>Pays-Bas</c:v>
                </c:pt>
                <c:pt idx="1">
                  <c:v>Norvège</c:v>
                </c:pt>
                <c:pt idx="2">
                  <c:v>Danemark</c:v>
                </c:pt>
                <c:pt idx="3">
                  <c:v>Luxembourg *</c:v>
                </c:pt>
                <c:pt idx="4">
                  <c:v>Rép. tchèque</c:v>
                </c:pt>
                <c:pt idx="5">
                  <c:v>Suède</c:v>
                </c:pt>
                <c:pt idx="6">
                  <c:v>Japon*</c:v>
                </c:pt>
                <c:pt idx="7">
                  <c:v>France</c:v>
                </c:pt>
                <c:pt idx="8">
                  <c:v>Allemagne</c:v>
                </c:pt>
                <c:pt idx="9">
                  <c:v>Autriche</c:v>
                </c:pt>
                <c:pt idx="10">
                  <c:v>Belgique</c:v>
                </c:pt>
                <c:pt idx="11">
                  <c:v>Finlande</c:v>
                </c:pt>
                <c:pt idx="12">
                  <c:v>Espagne*</c:v>
                </c:pt>
                <c:pt idx="13">
                  <c:v>Pologne</c:v>
                </c:pt>
                <c:pt idx="14">
                  <c:v>Canada</c:v>
                </c:pt>
                <c:pt idx="15">
                  <c:v>Australie*</c:v>
                </c:pt>
                <c:pt idx="16">
                  <c:v>Rép. slovaque</c:v>
                </c:pt>
                <c:pt idx="17">
                  <c:v>Portugal</c:v>
                </c:pt>
                <c:pt idx="18">
                  <c:v>Suisse</c:v>
                </c:pt>
                <c:pt idx="19">
                  <c:v>Hongrie</c:v>
                </c:pt>
                <c:pt idx="20">
                  <c:v>Corée</c:v>
                </c:pt>
                <c:pt idx="21">
                  <c:v>États-Unis</c:v>
                </c:pt>
              </c:strCache>
            </c:strRef>
          </c:cat>
          <c:val>
            <c:numRef>
              <c:f>'[SANTE 2011.xlsx]graph 7'!$H$5:$H$26</c:f>
              <c:numCache>
                <c:formatCode>0.0</c:formatCode>
                <c:ptCount val="22"/>
                <c:pt idx="0">
                  <c:v>3.5830000000000002</c:v>
                </c:pt>
                <c:pt idx="1">
                  <c:v>0.24000000000000021</c:v>
                </c:pt>
                <c:pt idx="2">
                  <c:v>7.290000000000002E-2</c:v>
                </c:pt>
                <c:pt idx="3">
                  <c:v>0</c:v>
                </c:pt>
                <c:pt idx="4">
                  <c:v>1.2605</c:v>
                </c:pt>
                <c:pt idx="5">
                  <c:v>0.89419999999999999</c:v>
                </c:pt>
                <c:pt idx="6">
                  <c:v>1.0815999999999864</c:v>
                </c:pt>
                <c:pt idx="7">
                  <c:v>0.67660000000001086</c:v>
                </c:pt>
                <c:pt idx="8">
                  <c:v>0.76430000000000065</c:v>
                </c:pt>
                <c:pt idx="9">
                  <c:v>1.3263</c:v>
                </c:pt>
                <c:pt idx="10">
                  <c:v>0.18610000000000004</c:v>
                </c:pt>
                <c:pt idx="11">
                  <c:v>3.3831999999999995</c:v>
                </c:pt>
                <c:pt idx="12">
                  <c:v>0.6097000000000069</c:v>
                </c:pt>
                <c:pt idx="13">
                  <c:v>3.4221999999999997</c:v>
                </c:pt>
                <c:pt idx="14">
                  <c:v>1.5722</c:v>
                </c:pt>
                <c:pt idx="15">
                  <c:v>3.4325999999999977</c:v>
                </c:pt>
                <c:pt idx="16">
                  <c:v>4.9907000000000004</c:v>
                </c:pt>
                <c:pt idx="17">
                  <c:v>0.62130000000000063</c:v>
                </c:pt>
                <c:pt idx="18">
                  <c:v>0.99160000000000004</c:v>
                </c:pt>
                <c:pt idx="19">
                  <c:v>6.2755000000000001</c:v>
                </c:pt>
                <c:pt idx="20">
                  <c:v>0.72690000000000365</c:v>
                </c:pt>
                <c:pt idx="21">
                  <c:v>3.8449999999999998</c:v>
                </c:pt>
              </c:numCache>
            </c:numRef>
          </c:val>
        </c:ser>
        <c:dLbls>
          <c:showLegendKey val="0"/>
          <c:showVal val="0"/>
          <c:showCatName val="0"/>
          <c:showSerName val="0"/>
          <c:showPercent val="0"/>
          <c:showBubbleSize val="0"/>
        </c:dLbls>
        <c:gapWidth val="41"/>
        <c:overlap val="100"/>
        <c:axId val="85585280"/>
        <c:axId val="125838464"/>
      </c:barChart>
      <c:catAx>
        <c:axId val="85585280"/>
        <c:scaling>
          <c:orientation val="minMax"/>
        </c:scaling>
        <c:delete val="0"/>
        <c:axPos val="b"/>
        <c:majorTickMark val="none"/>
        <c:minorTickMark val="none"/>
        <c:tickLblPos val="nextTo"/>
        <c:crossAx val="125838464"/>
        <c:crosses val="autoZero"/>
        <c:auto val="1"/>
        <c:lblAlgn val="ctr"/>
        <c:lblOffset val="0"/>
        <c:noMultiLvlLbl val="0"/>
      </c:catAx>
      <c:valAx>
        <c:axId val="125838464"/>
        <c:scaling>
          <c:orientation val="minMax"/>
        </c:scaling>
        <c:delete val="0"/>
        <c:axPos val="l"/>
        <c:numFmt formatCode="0%" sourceLinked="1"/>
        <c:majorTickMark val="none"/>
        <c:minorTickMark val="none"/>
        <c:tickLblPos val="nextTo"/>
        <c:spPr>
          <a:ln>
            <a:solidFill>
              <a:schemeClr val="tx1">
                <a:lumMod val="85000"/>
                <a:lumOff val="15000"/>
              </a:schemeClr>
            </a:solidFill>
          </a:ln>
        </c:spPr>
        <c:crossAx val="85585280"/>
        <c:crosses val="autoZero"/>
        <c:crossBetween val="between"/>
      </c:valAx>
      <c:spPr>
        <a:ln>
          <a:solidFill>
            <a:schemeClr val="bg1">
              <a:lumMod val="75000"/>
            </a:schemeClr>
          </a:solidFill>
        </a:ln>
      </c:spPr>
    </c:plotArea>
    <c:legend>
      <c:legendPos val="r"/>
      <c:layout>
        <c:manualLayout>
          <c:xMode val="edge"/>
          <c:yMode val="edge"/>
          <c:x val="0.79925423115214045"/>
          <c:y val="2.7070767097509447E-2"/>
          <c:w val="0.19891413242584194"/>
          <c:h val="0.45904343089189326"/>
        </c:manualLayout>
      </c:layout>
      <c:overlay val="0"/>
    </c:legend>
    <c:plotVisOnly val="1"/>
    <c:dispBlanksAs val="gap"/>
    <c:showDLblsOverMax val="0"/>
  </c:chart>
  <c:spPr>
    <a:ln>
      <a:noFill/>
    </a:ln>
  </c:spPr>
  <c:txPr>
    <a:bodyPr/>
    <a:lstStyle/>
    <a:p>
      <a:pPr>
        <a:defRPr sz="900">
          <a:solidFill>
            <a:schemeClr val="tx1">
              <a:lumMod val="85000"/>
              <a:lumOff val="15000"/>
            </a:schemeClr>
          </a:solidFill>
        </a:defRPr>
      </a:pPr>
      <a:endParaRPr lang="fr-F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432254301545639"/>
          <c:y val="2.5413204564899223E-2"/>
          <c:w val="0.75589967920677059"/>
          <c:h val="0.75889553805774612"/>
        </c:manualLayout>
      </c:layout>
      <c:scatterChart>
        <c:scatterStyle val="lineMarker"/>
        <c:varyColors val="0"/>
        <c:ser>
          <c:idx val="0"/>
          <c:order val="0"/>
          <c:spPr>
            <a:ln w="28575">
              <a:noFill/>
            </a:ln>
          </c:spPr>
          <c:marker>
            <c:symbol val="circle"/>
            <c:size val="6"/>
            <c:spPr>
              <a:solidFill>
                <a:schemeClr val="accent1">
                  <a:lumMod val="40000"/>
                  <a:lumOff val="60000"/>
                </a:schemeClr>
              </a:solidFill>
              <a:ln>
                <a:solidFill>
                  <a:schemeClr val="accent1">
                    <a:lumMod val="75000"/>
                  </a:schemeClr>
                </a:solidFill>
              </a:ln>
            </c:spPr>
          </c:marker>
          <c:trendline>
            <c:spPr>
              <a:ln w="25400">
                <a:solidFill>
                  <a:srgbClr val="7A003C"/>
                </a:solidFill>
                <a:prstDash val="sysDot"/>
              </a:ln>
            </c:spPr>
            <c:trendlineType val="log"/>
            <c:dispRSqr val="0"/>
            <c:dispEq val="0"/>
          </c:trendline>
          <c:xVal>
            <c:numRef>
              <c:f>Données7.5.3!$D$7:$D$40</c:f>
              <c:numCache>
                <c:formatCode>0</c:formatCode>
                <c:ptCount val="34"/>
                <c:pt idx="0">
                  <c:v>3265.8761819895012</c:v>
                </c:pt>
                <c:pt idx="1">
                  <c:v>3903.4839000000002</c:v>
                </c:pt>
                <c:pt idx="2">
                  <c:v>3946.3433000000123</c:v>
                </c:pt>
                <c:pt idx="3">
                  <c:v>4138.5954000000002</c:v>
                </c:pt>
                <c:pt idx="4">
                  <c:v>1146.3199428172636</c:v>
                </c:pt>
                <c:pt idx="5">
                  <c:v>2040.50318120423</c:v>
                </c:pt>
                <c:pt idx="6">
                  <c:v>4185.3130069817644</c:v>
                </c:pt>
                <c:pt idx="7">
                  <c:v>1336.5038999999999</c:v>
                </c:pt>
                <c:pt idx="8">
                  <c:v>3053.3444239967898</c:v>
                </c:pt>
                <c:pt idx="9">
                  <c:v>3872.1882999999839</c:v>
                </c:pt>
                <c:pt idx="10">
                  <c:v>4072.0432999999998</c:v>
                </c:pt>
                <c:pt idx="11">
                  <c:v>2622.9549335049833</c:v>
                </c:pt>
                <c:pt idx="12">
                  <c:v>1476.36821142451</c:v>
                </c:pt>
                <c:pt idx="13">
                  <c:v>3538.1527000000001</c:v>
                </c:pt>
                <c:pt idx="14">
                  <c:v>3608.7081006547187</c:v>
                </c:pt>
                <c:pt idx="15">
                  <c:v>2103.46567067864</c:v>
                </c:pt>
                <c:pt idx="16">
                  <c:v>3019.9117647169401</c:v>
                </c:pt>
                <c:pt idx="17">
                  <c:v>2831.6716173128802</c:v>
                </c:pt>
                <c:pt idx="18">
                  <c:v>1784.0485000000001</c:v>
                </c:pt>
                <c:pt idx="19">
                  <c:v>4036.5374000000002</c:v>
                </c:pt>
                <c:pt idx="20">
                  <c:v>879.35397861556703</c:v>
                </c:pt>
                <c:pt idx="21">
                  <c:v>4585.1657823129199</c:v>
                </c:pt>
                <c:pt idx="22">
                  <c:v>2982.9423938240602</c:v>
                </c:pt>
                <c:pt idx="23">
                  <c:v>5128.0341724740301</c:v>
                </c:pt>
                <c:pt idx="24">
                  <c:v>1301.48453503974</c:v>
                </c:pt>
                <c:pt idx="25">
                  <c:v>2373.6132000000002</c:v>
                </c:pt>
                <c:pt idx="26">
                  <c:v>1961.7411</c:v>
                </c:pt>
                <c:pt idx="27">
                  <c:v>2415.9683999999997</c:v>
                </c:pt>
                <c:pt idx="28">
                  <c:v>2981.8105000000132</c:v>
                </c:pt>
                <c:pt idx="29">
                  <c:v>3561.6309999999999</c:v>
                </c:pt>
                <c:pt idx="30">
                  <c:v>5144.1405000000004</c:v>
                </c:pt>
                <c:pt idx="31">
                  <c:v>817.29222078209796</c:v>
                </c:pt>
                <c:pt idx="32">
                  <c:v>3310.6585259385802</c:v>
                </c:pt>
                <c:pt idx="33">
                  <c:v>7598.2909857061495</c:v>
                </c:pt>
              </c:numCache>
            </c:numRef>
          </c:xVal>
          <c:yVal>
            <c:numRef>
              <c:f>Données7.5.3!$E$7:$E$40</c:f>
              <c:numCache>
                <c:formatCode>0.0</c:formatCode>
                <c:ptCount val="34"/>
                <c:pt idx="0">
                  <c:v>19.188657655056655</c:v>
                </c:pt>
                <c:pt idx="1">
                  <c:v>15.518573036768512</c:v>
                </c:pt>
                <c:pt idx="2">
                  <c:v>19.953773408410768</c:v>
                </c:pt>
                <c:pt idx="3">
                  <c:v>15.35878815310142</c:v>
                </c:pt>
                <c:pt idx="4">
                  <c:v>37.316245760093118</c:v>
                </c:pt>
                <c:pt idx="5">
                  <c:v>14.908342187994498</c:v>
                </c:pt>
                <c:pt idx="6">
                  <c:v>13.684605634645596</c:v>
                </c:pt>
                <c:pt idx="7">
                  <c:v>21.12089609315769</c:v>
                </c:pt>
                <c:pt idx="8">
                  <c:v>20.11035711421016</c:v>
                </c:pt>
                <c:pt idx="9">
                  <c:v>7.5117033952094072</c:v>
                </c:pt>
                <c:pt idx="10">
                  <c:v>12.294238128558211</c:v>
                </c:pt>
                <c:pt idx="11">
                  <c:v>41.174935421281937</c:v>
                </c:pt>
                <c:pt idx="12">
                  <c:v>24.279640893522824</c:v>
                </c:pt>
                <c:pt idx="13">
                  <c:v>16.622174051447804</c:v>
                </c:pt>
                <c:pt idx="14">
                  <c:v>12.868120877730002</c:v>
                </c:pt>
                <c:pt idx="15">
                  <c:v>29.621483761786131</c:v>
                </c:pt>
                <c:pt idx="16">
                  <c:v>20.414920399050796</c:v>
                </c:pt>
                <c:pt idx="17">
                  <c:v>16.033635299521041</c:v>
                </c:pt>
                <c:pt idx="18">
                  <c:v>34.16044462916787</c:v>
                </c:pt>
                <c:pt idx="19">
                  <c:v>11.627081396331668</c:v>
                </c:pt>
                <c:pt idx="20">
                  <c:v>49.891677028988127</c:v>
                </c:pt>
                <c:pt idx="21">
                  <c:v>6.1548545687050584</c:v>
                </c:pt>
                <c:pt idx="22">
                  <c:v>13.388668162185798</c:v>
                </c:pt>
                <c:pt idx="23">
                  <c:v>15.752980700761372</c:v>
                </c:pt>
                <c:pt idx="24">
                  <c:v>23.832018757554291</c:v>
                </c:pt>
                <c:pt idx="25">
                  <c:v>28.704070233515726</c:v>
                </c:pt>
                <c:pt idx="26">
                  <c:v>26.929205897760802</c:v>
                </c:pt>
                <c:pt idx="27">
                  <c:v>13.815205530006159</c:v>
                </c:pt>
                <c:pt idx="28">
                  <c:v>20.654313880778126</c:v>
                </c:pt>
                <c:pt idx="29">
                  <c:v>17.416074264852291</c:v>
                </c:pt>
                <c:pt idx="30">
                  <c:v>30.488671528314587</c:v>
                </c:pt>
                <c:pt idx="31">
                  <c:v>19.181794217719485</c:v>
                </c:pt>
                <c:pt idx="32">
                  <c:v>11.008595012516535</c:v>
                </c:pt>
                <c:pt idx="33">
                  <c:v>12.847073114478667</c:v>
                </c:pt>
              </c:numCache>
            </c:numRef>
          </c:yVal>
          <c:smooth val="0"/>
        </c:ser>
        <c:dLbls>
          <c:showLegendKey val="0"/>
          <c:showVal val="0"/>
          <c:showCatName val="0"/>
          <c:showSerName val="0"/>
          <c:showPercent val="0"/>
          <c:showBubbleSize val="0"/>
        </c:dLbls>
        <c:axId val="126510976"/>
        <c:axId val="126525440"/>
      </c:scatterChart>
      <c:valAx>
        <c:axId val="126510976"/>
        <c:scaling>
          <c:orientation val="minMax"/>
        </c:scaling>
        <c:delete val="0"/>
        <c:axPos val="b"/>
        <c:majorGridlines>
          <c:spPr>
            <a:ln>
              <a:solidFill>
                <a:schemeClr val="bg1">
                  <a:lumMod val="75000"/>
                </a:schemeClr>
              </a:solidFill>
            </a:ln>
          </c:spPr>
        </c:majorGridlines>
        <c:title>
          <c:tx>
            <c:rich>
              <a:bodyPr/>
              <a:lstStyle/>
              <a:p>
                <a:pPr>
                  <a:defRPr/>
                </a:pPr>
                <a:r>
                  <a:rPr lang="fr-FR"/>
                  <a:t>Dépenses courantes de santé par habitant </a:t>
                </a:r>
              </a:p>
              <a:p>
                <a:pPr>
                  <a:defRPr/>
                </a:pPr>
                <a:r>
                  <a:rPr lang="fr-FR"/>
                  <a:t>(USD PPA)</a:t>
                </a:r>
              </a:p>
            </c:rich>
          </c:tx>
          <c:layout>
            <c:manualLayout>
              <c:xMode val="edge"/>
              <c:yMode val="edge"/>
              <c:x val="0.28945803317138552"/>
              <c:y val="0.86682666666666663"/>
            </c:manualLayout>
          </c:layout>
          <c:overlay val="0"/>
        </c:title>
        <c:numFmt formatCode="#,##0" sourceLinked="0"/>
        <c:majorTickMark val="none"/>
        <c:minorTickMark val="none"/>
        <c:tickLblPos val="nextTo"/>
        <c:spPr>
          <a:ln>
            <a:solidFill>
              <a:schemeClr val="tx1">
                <a:lumMod val="85000"/>
                <a:lumOff val="15000"/>
              </a:schemeClr>
            </a:solidFill>
          </a:ln>
        </c:spPr>
        <c:txPr>
          <a:bodyPr rot="0" vert="horz"/>
          <a:lstStyle/>
          <a:p>
            <a:pPr>
              <a:defRPr/>
            </a:pPr>
            <a:endParaRPr lang="fr-FR"/>
          </a:p>
        </c:txPr>
        <c:crossAx val="126525440"/>
        <c:crosses val="autoZero"/>
        <c:crossBetween val="midCat"/>
      </c:valAx>
      <c:valAx>
        <c:axId val="126525440"/>
        <c:scaling>
          <c:orientation val="minMax"/>
          <c:max val="50"/>
        </c:scaling>
        <c:delete val="0"/>
        <c:axPos val="l"/>
        <c:majorGridlines>
          <c:spPr>
            <a:ln>
              <a:solidFill>
                <a:schemeClr val="bg1">
                  <a:lumMod val="75000"/>
                </a:schemeClr>
              </a:solidFill>
            </a:ln>
          </c:spPr>
        </c:majorGridlines>
        <c:numFmt formatCode="0" sourceLinked="0"/>
        <c:majorTickMark val="none"/>
        <c:minorTickMark val="none"/>
        <c:tickLblPos val="nextTo"/>
        <c:spPr>
          <a:ln>
            <a:solidFill>
              <a:schemeClr val="tx1">
                <a:lumMod val="85000"/>
                <a:lumOff val="15000"/>
              </a:schemeClr>
            </a:solidFill>
          </a:ln>
        </c:spPr>
        <c:txPr>
          <a:bodyPr rot="0" vert="horz"/>
          <a:lstStyle/>
          <a:p>
            <a:pPr>
              <a:defRPr/>
            </a:pPr>
            <a:endParaRPr lang="fr-FR"/>
          </a:p>
        </c:txPr>
        <c:crossAx val="126510976"/>
        <c:crosses val="autoZero"/>
        <c:crossBetween val="midCat"/>
      </c:valAx>
      <c:spPr>
        <a:noFill/>
        <a:ln>
          <a:solidFill>
            <a:schemeClr val="bg1">
              <a:lumMod val="75000"/>
            </a:schemeClr>
          </a:solidFill>
        </a:ln>
      </c:spPr>
    </c:plotArea>
    <c:plotVisOnly val="1"/>
    <c:dispBlanksAs val="gap"/>
    <c:showDLblsOverMax val="0"/>
  </c:chart>
  <c:spPr>
    <a:noFill/>
    <a:ln>
      <a:noFill/>
    </a:ln>
  </c:spPr>
  <c:txPr>
    <a:bodyPr/>
    <a:lstStyle/>
    <a:p>
      <a:pPr>
        <a:defRPr sz="900" b="0" i="0" u="none" strike="noStrike" baseline="0">
          <a:solidFill>
            <a:schemeClr val="tx1">
              <a:lumMod val="85000"/>
              <a:lumOff val="15000"/>
            </a:schemeClr>
          </a:solidFill>
          <a:latin typeface="+mn-lt"/>
          <a:ea typeface="Arial"/>
          <a:cs typeface="Arial"/>
        </a:defRPr>
      </a:pPr>
      <a:endParaRPr lang="fr-FR"/>
    </a:p>
  </c:tx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326543209876574E-2"/>
          <c:y val="4.7639814814814822E-2"/>
          <c:w val="0.90647314814814817"/>
          <c:h val="0.82270462962962965"/>
        </c:manualLayout>
      </c:layout>
      <c:barChart>
        <c:barDir val="col"/>
        <c:grouping val="stacked"/>
        <c:varyColors val="0"/>
        <c:ser>
          <c:idx val="0"/>
          <c:order val="0"/>
          <c:tx>
            <c:strRef>
              <c:f>'F1.13-g01'!$A$10</c:f>
              <c:strCache>
                <c:ptCount val="1"/>
                <c:pt idx="0">
                  <c:v> Effet volume</c:v>
                </c:pt>
              </c:strCache>
            </c:strRef>
          </c:tx>
          <c:spPr>
            <a:solidFill>
              <a:schemeClr val="bg1">
                <a:lumMod val="65000"/>
              </a:schemeClr>
            </a:solidFill>
          </c:spPr>
          <c:invertIfNegative val="0"/>
          <c:cat>
            <c:strRef>
              <c:f>'F1.13-g01'!$D$9:$M$9</c:f>
              <c:strCache>
                <c:ptCount val="10"/>
                <c:pt idx="0">
                  <c:v>02</c:v>
                </c:pt>
                <c:pt idx="1">
                  <c:v>03</c:v>
                </c:pt>
                <c:pt idx="2">
                  <c:v>04</c:v>
                </c:pt>
                <c:pt idx="3">
                  <c:v>05</c:v>
                </c:pt>
                <c:pt idx="4">
                  <c:v>06</c:v>
                </c:pt>
                <c:pt idx="5">
                  <c:v>07</c:v>
                </c:pt>
                <c:pt idx="6">
                  <c:v>08</c:v>
                </c:pt>
                <c:pt idx="7">
                  <c:v>09</c:v>
                </c:pt>
                <c:pt idx="8">
                  <c:v>10</c:v>
                </c:pt>
                <c:pt idx="9">
                  <c:v>11</c:v>
                </c:pt>
              </c:strCache>
            </c:strRef>
          </c:cat>
          <c:val>
            <c:numRef>
              <c:f>'F1.13-g01'!$D$10:$M$10</c:f>
              <c:numCache>
                <c:formatCode>0.0</c:formatCode>
                <c:ptCount val="10"/>
                <c:pt idx="0">
                  <c:v>2.8766326923077368</c:v>
                </c:pt>
                <c:pt idx="1">
                  <c:v>1.7065368822682239</c:v>
                </c:pt>
                <c:pt idx="2">
                  <c:v>3.0202472331979209</c:v>
                </c:pt>
                <c:pt idx="3">
                  <c:v>1.6157564325400386</c:v>
                </c:pt>
                <c:pt idx="4">
                  <c:v>4.5429699915398913</c:v>
                </c:pt>
                <c:pt idx="5">
                  <c:v>3.5293775692845792</c:v>
                </c:pt>
                <c:pt idx="6">
                  <c:v>1.5951221395945367</c:v>
                </c:pt>
                <c:pt idx="7">
                  <c:v>2.6825502815182745</c:v>
                </c:pt>
                <c:pt idx="8">
                  <c:v>3.1520863883605159</c:v>
                </c:pt>
                <c:pt idx="9">
                  <c:v>3.8772109341138572</c:v>
                </c:pt>
              </c:numCache>
            </c:numRef>
          </c:val>
        </c:ser>
        <c:ser>
          <c:idx val="1"/>
          <c:order val="1"/>
          <c:tx>
            <c:strRef>
              <c:f>'F1.13-g01'!$A$11</c:f>
              <c:strCache>
                <c:ptCount val="1"/>
                <c:pt idx="0">
                  <c:v> Effet prix</c:v>
                </c:pt>
              </c:strCache>
            </c:strRef>
          </c:tx>
          <c:spPr>
            <a:solidFill>
              <a:srgbClr val="7A003C"/>
            </a:solidFill>
          </c:spPr>
          <c:invertIfNegative val="0"/>
          <c:cat>
            <c:strRef>
              <c:f>'F1.13-g01'!$D$9:$M$9</c:f>
              <c:strCache>
                <c:ptCount val="10"/>
                <c:pt idx="0">
                  <c:v>02</c:v>
                </c:pt>
                <c:pt idx="1">
                  <c:v>03</c:v>
                </c:pt>
                <c:pt idx="2">
                  <c:v>04</c:v>
                </c:pt>
                <c:pt idx="3">
                  <c:v>05</c:v>
                </c:pt>
                <c:pt idx="4">
                  <c:v>06</c:v>
                </c:pt>
                <c:pt idx="5">
                  <c:v>07</c:v>
                </c:pt>
                <c:pt idx="6">
                  <c:v>08</c:v>
                </c:pt>
                <c:pt idx="7">
                  <c:v>09</c:v>
                </c:pt>
                <c:pt idx="8">
                  <c:v>10</c:v>
                </c:pt>
                <c:pt idx="9">
                  <c:v>11</c:v>
                </c:pt>
              </c:strCache>
            </c:strRef>
          </c:cat>
          <c:val>
            <c:numRef>
              <c:f>'F1.13-g01'!$D$11:$M$11</c:f>
              <c:numCache>
                <c:formatCode>0.0</c:formatCode>
                <c:ptCount val="10"/>
                <c:pt idx="0">
                  <c:v>1.4343983802994276</c:v>
                </c:pt>
                <c:pt idx="1">
                  <c:v>2.5230600658153466</c:v>
                </c:pt>
                <c:pt idx="2">
                  <c:v>2.1677855128467263</c:v>
                </c:pt>
                <c:pt idx="3">
                  <c:v>1.6855312085268537</c:v>
                </c:pt>
                <c:pt idx="4">
                  <c:v>0.20059077051688234</c:v>
                </c:pt>
                <c:pt idx="5">
                  <c:v>0.72706079302582793</c:v>
                </c:pt>
                <c:pt idx="6">
                  <c:v>1.5867248836390841</c:v>
                </c:pt>
                <c:pt idx="7">
                  <c:v>1.0559184641822421</c:v>
                </c:pt>
                <c:pt idx="8">
                  <c:v>0.19907818430047541</c:v>
                </c:pt>
                <c:pt idx="9">
                  <c:v>1.0326860000006381E-2</c:v>
                </c:pt>
              </c:numCache>
            </c:numRef>
          </c:val>
        </c:ser>
        <c:dLbls>
          <c:showLegendKey val="0"/>
          <c:showVal val="0"/>
          <c:showCatName val="0"/>
          <c:showSerName val="0"/>
          <c:showPercent val="0"/>
          <c:showBubbleSize val="0"/>
        </c:dLbls>
        <c:gapWidth val="55"/>
        <c:overlap val="100"/>
        <c:axId val="126033280"/>
        <c:axId val="126039168"/>
      </c:barChart>
      <c:catAx>
        <c:axId val="126033280"/>
        <c:scaling>
          <c:orientation val="minMax"/>
        </c:scaling>
        <c:delete val="0"/>
        <c:axPos val="b"/>
        <c:majorTickMark val="none"/>
        <c:minorTickMark val="none"/>
        <c:tickLblPos val="nextTo"/>
        <c:spPr>
          <a:ln>
            <a:solidFill>
              <a:schemeClr val="tx1">
                <a:lumMod val="85000"/>
                <a:lumOff val="15000"/>
              </a:schemeClr>
            </a:solidFill>
          </a:ln>
        </c:spPr>
        <c:crossAx val="126039168"/>
        <c:crosses val="autoZero"/>
        <c:auto val="1"/>
        <c:lblAlgn val="ctr"/>
        <c:lblOffset val="100"/>
        <c:noMultiLvlLbl val="0"/>
      </c:catAx>
      <c:valAx>
        <c:axId val="126039168"/>
        <c:scaling>
          <c:orientation val="minMax"/>
        </c:scaling>
        <c:delete val="0"/>
        <c:axPos val="l"/>
        <c:majorGridlines>
          <c:spPr>
            <a:ln>
              <a:solidFill>
                <a:schemeClr val="bg1">
                  <a:lumMod val="85000"/>
                </a:schemeClr>
              </a:solidFill>
            </a:ln>
          </c:spPr>
        </c:majorGridlines>
        <c:numFmt formatCode="0" sourceLinked="0"/>
        <c:majorTickMark val="out"/>
        <c:minorTickMark val="none"/>
        <c:tickLblPos val="nextTo"/>
        <c:spPr>
          <a:ln>
            <a:noFill/>
          </a:ln>
        </c:spPr>
        <c:crossAx val="126033280"/>
        <c:crosses val="autoZero"/>
        <c:crossBetween val="between"/>
      </c:valAx>
      <c:spPr>
        <a:ln>
          <a:solidFill>
            <a:schemeClr val="bg1">
              <a:lumMod val="85000"/>
            </a:schemeClr>
          </a:solidFill>
        </a:ln>
      </c:spPr>
    </c:plotArea>
    <c:legend>
      <c:legendPos val="r"/>
      <c:layout>
        <c:manualLayout>
          <c:xMode val="edge"/>
          <c:yMode val="edge"/>
          <c:x val="0.40640975760382891"/>
          <c:y val="4.6781018518518527E-2"/>
          <c:w val="0.56223220626833414"/>
          <c:h val="0.13620648148148384"/>
        </c:manualLayout>
      </c:layout>
      <c:overlay val="0"/>
    </c:legend>
    <c:plotVisOnly val="1"/>
    <c:dispBlanksAs val="gap"/>
    <c:showDLblsOverMax val="0"/>
  </c:chart>
  <c:spPr>
    <a:ln>
      <a:noFill/>
    </a:ln>
  </c:spPr>
  <c:txPr>
    <a:bodyPr/>
    <a:lstStyle/>
    <a:p>
      <a:pPr>
        <a:defRPr sz="900">
          <a:solidFill>
            <a:schemeClr val="tx1">
              <a:lumMod val="85000"/>
              <a:lumOff val="15000"/>
            </a:schemeClr>
          </a:solidFill>
        </a:defRPr>
      </a:pPr>
      <a:endParaRPr lang="fr-F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071741032370933E-2"/>
          <c:y val="3.1031184661239632E-2"/>
          <c:w val="0.86095603674541465"/>
          <c:h val="0.86615374349392771"/>
        </c:manualLayout>
      </c:layout>
      <c:lineChart>
        <c:grouping val="standard"/>
        <c:varyColors val="0"/>
        <c:ser>
          <c:idx val="0"/>
          <c:order val="0"/>
          <c:tx>
            <c:strRef>
              <c:f>Valeurs!$L$20</c:f>
              <c:strCache>
                <c:ptCount val="1"/>
                <c:pt idx="0">
                  <c:v>IPC</c:v>
                </c:pt>
              </c:strCache>
            </c:strRef>
          </c:tx>
          <c:spPr>
            <a:ln>
              <a:solidFill>
                <a:schemeClr val="bg1">
                  <a:lumMod val="65000"/>
                </a:schemeClr>
              </a:solidFill>
            </a:ln>
          </c:spPr>
          <c:marker>
            <c:symbol val="none"/>
          </c:marker>
          <c:dLbls>
            <c:dLbl>
              <c:idx val="8"/>
              <c:layout>
                <c:manualLayout>
                  <c:x val="-1.324074074074074E-2"/>
                  <c:y val="-6.1429347763247655E-2"/>
                </c:manualLayout>
              </c:layout>
              <c:tx>
                <c:rich>
                  <a:bodyPr/>
                  <a:lstStyle/>
                  <a:p>
                    <a:pPr>
                      <a:defRPr b="1">
                        <a:solidFill>
                          <a:schemeClr val="tx1">
                            <a:lumMod val="85000"/>
                            <a:lumOff val="15000"/>
                          </a:schemeClr>
                        </a:solidFill>
                      </a:defRPr>
                    </a:pPr>
                    <a:r>
                      <a:rPr lang="en-US" b="1">
                        <a:solidFill>
                          <a:schemeClr val="tx1">
                            <a:lumMod val="85000"/>
                            <a:lumOff val="15000"/>
                          </a:schemeClr>
                        </a:solidFill>
                      </a:rPr>
                      <a:t>IPC</a:t>
                    </a:r>
                  </a:p>
                </c:rich>
              </c:tx>
              <c:spPr/>
              <c:showLegendKey val="0"/>
              <c:showVal val="1"/>
              <c:showCatName val="0"/>
              <c:showSerName val="0"/>
              <c:showPercent val="0"/>
              <c:showBubbleSize val="0"/>
            </c:dLbl>
            <c:showLegendKey val="0"/>
            <c:showVal val="0"/>
            <c:showCatName val="0"/>
            <c:showSerName val="0"/>
            <c:showPercent val="0"/>
            <c:showBubbleSize val="0"/>
          </c:dLbls>
          <c:cat>
            <c:strRef>
              <c:f>Valeurs!$K$29:$K$40</c:f>
              <c:strCache>
                <c:ptCount val="12"/>
                <c:pt idx="0">
                  <c:v>00</c:v>
                </c:pt>
                <c:pt idx="1">
                  <c:v>01</c:v>
                </c:pt>
                <c:pt idx="2">
                  <c:v>02</c:v>
                </c:pt>
                <c:pt idx="3">
                  <c:v>03</c:v>
                </c:pt>
                <c:pt idx="4">
                  <c:v>04</c:v>
                </c:pt>
                <c:pt idx="5">
                  <c:v>05</c:v>
                </c:pt>
                <c:pt idx="6">
                  <c:v>06</c:v>
                </c:pt>
                <c:pt idx="7">
                  <c:v>07</c:v>
                </c:pt>
                <c:pt idx="8">
                  <c:v>08</c:v>
                </c:pt>
                <c:pt idx="9">
                  <c:v>09</c:v>
                </c:pt>
                <c:pt idx="10">
                  <c:v>10</c:v>
                </c:pt>
                <c:pt idx="11">
                  <c:v>11</c:v>
                </c:pt>
              </c:strCache>
            </c:strRef>
          </c:cat>
          <c:val>
            <c:numRef>
              <c:f>Valeurs!$L$29:$L$40</c:f>
              <c:numCache>
                <c:formatCode>General</c:formatCode>
                <c:ptCount val="12"/>
                <c:pt idx="0">
                  <c:v>100</c:v>
                </c:pt>
                <c:pt idx="1">
                  <c:v>101.66340508806262</c:v>
                </c:pt>
                <c:pt idx="2">
                  <c:v>103.62035225048648</c:v>
                </c:pt>
                <c:pt idx="3">
                  <c:v>105.77299412915848</c:v>
                </c:pt>
                <c:pt idx="4">
                  <c:v>108.02348336594912</c:v>
                </c:pt>
                <c:pt idx="5">
                  <c:v>109.98043052837573</c:v>
                </c:pt>
                <c:pt idx="6">
                  <c:v>111.7808219178082</c:v>
                </c:pt>
                <c:pt idx="7">
                  <c:v>113.44422700587344</c:v>
                </c:pt>
                <c:pt idx="8">
                  <c:v>116.63405088062621</c:v>
                </c:pt>
                <c:pt idx="9">
                  <c:v>116.74168297455968</c:v>
                </c:pt>
                <c:pt idx="10">
                  <c:v>118.52250489236791</c:v>
                </c:pt>
                <c:pt idx="11">
                  <c:v>121.03718199608608</c:v>
                </c:pt>
              </c:numCache>
            </c:numRef>
          </c:val>
          <c:smooth val="0"/>
        </c:ser>
        <c:ser>
          <c:idx val="1"/>
          <c:order val="1"/>
          <c:tx>
            <c:strRef>
              <c:f>Valeurs!$M$20</c:f>
              <c:strCache>
                <c:ptCount val="1"/>
                <c:pt idx="0">
                  <c:v>Optique médicale</c:v>
                </c:pt>
              </c:strCache>
            </c:strRef>
          </c:tx>
          <c:spPr>
            <a:ln>
              <a:solidFill>
                <a:srgbClr val="7A003C"/>
              </a:solidFill>
            </a:ln>
          </c:spPr>
          <c:marker>
            <c:symbol val="none"/>
          </c:marker>
          <c:cat>
            <c:strRef>
              <c:f>Valeurs!$K$29:$K$40</c:f>
              <c:strCache>
                <c:ptCount val="12"/>
                <c:pt idx="0">
                  <c:v>00</c:v>
                </c:pt>
                <c:pt idx="1">
                  <c:v>01</c:v>
                </c:pt>
                <c:pt idx="2">
                  <c:v>02</c:v>
                </c:pt>
                <c:pt idx="3">
                  <c:v>03</c:v>
                </c:pt>
                <c:pt idx="4">
                  <c:v>04</c:v>
                </c:pt>
                <c:pt idx="5">
                  <c:v>05</c:v>
                </c:pt>
                <c:pt idx="6">
                  <c:v>06</c:v>
                </c:pt>
                <c:pt idx="7">
                  <c:v>07</c:v>
                </c:pt>
                <c:pt idx="8">
                  <c:v>08</c:v>
                </c:pt>
                <c:pt idx="9">
                  <c:v>09</c:v>
                </c:pt>
                <c:pt idx="10">
                  <c:v>10</c:v>
                </c:pt>
                <c:pt idx="11">
                  <c:v>11</c:v>
                </c:pt>
              </c:strCache>
            </c:strRef>
          </c:cat>
          <c:val>
            <c:numRef>
              <c:f>Valeurs!$M$29:$M$40</c:f>
              <c:numCache>
                <c:formatCode>General</c:formatCode>
                <c:ptCount val="12"/>
                <c:pt idx="0">
                  <c:v>100</c:v>
                </c:pt>
                <c:pt idx="1">
                  <c:v>101.07843137254622</c:v>
                </c:pt>
                <c:pt idx="2">
                  <c:v>102.45098039215549</c:v>
                </c:pt>
                <c:pt idx="3">
                  <c:v>105.09803921568565</c:v>
                </c:pt>
                <c:pt idx="4">
                  <c:v>107.35294117646748</c:v>
                </c:pt>
                <c:pt idx="5">
                  <c:v>109.21568627450981</c:v>
                </c:pt>
                <c:pt idx="6">
                  <c:v>109.39215686274511</c:v>
                </c:pt>
                <c:pt idx="7">
                  <c:v>110.18627450980391</c:v>
                </c:pt>
                <c:pt idx="8">
                  <c:v>111.93137254901961</c:v>
                </c:pt>
                <c:pt idx="9">
                  <c:v>113.11764705882351</c:v>
                </c:pt>
                <c:pt idx="10">
                  <c:v>113.34313725490198</c:v>
                </c:pt>
                <c:pt idx="11">
                  <c:v>113.35294117646748</c:v>
                </c:pt>
              </c:numCache>
            </c:numRef>
          </c:val>
          <c:smooth val="0"/>
        </c:ser>
        <c:dLbls>
          <c:showLegendKey val="0"/>
          <c:showVal val="0"/>
          <c:showCatName val="0"/>
          <c:showSerName val="0"/>
          <c:showPercent val="0"/>
          <c:showBubbleSize val="0"/>
        </c:dLbls>
        <c:marker val="1"/>
        <c:smooth val="0"/>
        <c:axId val="126069376"/>
        <c:axId val="126079360"/>
      </c:lineChart>
      <c:catAx>
        <c:axId val="126069376"/>
        <c:scaling>
          <c:orientation val="minMax"/>
        </c:scaling>
        <c:delete val="0"/>
        <c:axPos val="b"/>
        <c:majorTickMark val="out"/>
        <c:minorTickMark val="none"/>
        <c:tickLblPos val="nextTo"/>
        <c:spPr>
          <a:ln>
            <a:solidFill>
              <a:schemeClr val="tx1">
                <a:lumMod val="85000"/>
                <a:lumOff val="15000"/>
              </a:schemeClr>
            </a:solidFill>
          </a:ln>
        </c:spPr>
        <c:crossAx val="126079360"/>
        <c:crosses val="autoZero"/>
        <c:auto val="1"/>
        <c:lblAlgn val="ctr"/>
        <c:lblOffset val="100"/>
        <c:noMultiLvlLbl val="0"/>
      </c:catAx>
      <c:valAx>
        <c:axId val="126079360"/>
        <c:scaling>
          <c:orientation val="minMax"/>
          <c:min val="95"/>
        </c:scaling>
        <c:delete val="0"/>
        <c:axPos val="l"/>
        <c:majorGridlines>
          <c:spPr>
            <a:ln>
              <a:solidFill>
                <a:schemeClr val="bg1">
                  <a:lumMod val="85000"/>
                </a:schemeClr>
              </a:solidFill>
            </a:ln>
          </c:spPr>
        </c:majorGridlines>
        <c:numFmt formatCode="General" sourceLinked="1"/>
        <c:majorTickMark val="none"/>
        <c:minorTickMark val="none"/>
        <c:tickLblPos val="nextTo"/>
        <c:spPr>
          <a:ln>
            <a:noFill/>
          </a:ln>
        </c:spPr>
        <c:crossAx val="126069376"/>
        <c:crosses val="autoZero"/>
        <c:crossBetween val="midCat"/>
      </c:valAx>
      <c:spPr>
        <a:ln>
          <a:solidFill>
            <a:schemeClr val="bg1">
              <a:lumMod val="85000"/>
            </a:schemeClr>
          </a:solidFill>
        </a:ln>
      </c:spPr>
    </c:plotArea>
    <c:plotVisOnly val="1"/>
    <c:dispBlanksAs val="gap"/>
    <c:showDLblsOverMax val="0"/>
  </c:chart>
  <c:spPr>
    <a:ln>
      <a:noFill/>
    </a:ln>
  </c:spPr>
  <c:txPr>
    <a:bodyPr/>
    <a:lstStyle/>
    <a:p>
      <a:pPr>
        <a:defRPr sz="900">
          <a:solidFill>
            <a:schemeClr val="tx1">
              <a:lumMod val="85000"/>
              <a:lumOff val="15000"/>
            </a:schemeClr>
          </a:solidFill>
        </a:defRPr>
      </a:pPr>
      <a:endParaRPr lang="fr-FR"/>
    </a:p>
  </c:txPr>
  <c:externalData r:id="rId1">
    <c:autoUpdate val="0"/>
  </c:externalData>
  <c:userShapes r:id="rId2"/>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551111666597226E-2"/>
          <c:y val="0.12874284707344444"/>
          <c:w val="0.90031218319931483"/>
          <c:h val="0.76882186546470666"/>
        </c:manualLayout>
      </c:layout>
      <c:lineChart>
        <c:grouping val="standard"/>
        <c:varyColors val="0"/>
        <c:ser>
          <c:idx val="0"/>
          <c:order val="0"/>
          <c:tx>
            <c:strRef>
              <c:f>Feuil1!$A$4</c:f>
              <c:strCache>
                <c:ptCount val="1"/>
                <c:pt idx="0">
                  <c:v>Ensemble</c:v>
                </c:pt>
              </c:strCache>
            </c:strRef>
          </c:tx>
          <c:spPr>
            <a:ln>
              <a:solidFill>
                <a:schemeClr val="tx1">
                  <a:lumMod val="65000"/>
                  <a:lumOff val="35000"/>
                </a:schemeClr>
              </a:solidFill>
              <a:prstDash val="sysDash"/>
            </a:ln>
          </c:spPr>
          <c:marker>
            <c:symbol val="none"/>
          </c:marker>
          <c:cat>
            <c:numRef>
              <c:f>Feuil1!$B$3:$J$3</c:f>
              <c:numCache>
                <c:formatCode>00</c:formatCode>
                <c:ptCount val="9"/>
                <c:pt idx="0">
                  <c:v>3</c:v>
                </c:pt>
                <c:pt idx="1">
                  <c:v>4</c:v>
                </c:pt>
                <c:pt idx="2">
                  <c:v>5</c:v>
                </c:pt>
                <c:pt idx="3">
                  <c:v>6</c:v>
                </c:pt>
                <c:pt idx="4">
                  <c:v>7</c:v>
                </c:pt>
                <c:pt idx="5">
                  <c:v>8</c:v>
                </c:pt>
                <c:pt idx="6">
                  <c:v>9</c:v>
                </c:pt>
                <c:pt idx="7">
                  <c:v>10</c:v>
                </c:pt>
                <c:pt idx="8">
                  <c:v>11</c:v>
                </c:pt>
              </c:numCache>
            </c:numRef>
          </c:cat>
          <c:val>
            <c:numRef>
              <c:f>Feuil1!$B$4:$J$4</c:f>
              <c:numCache>
                <c:formatCode>0.0%</c:formatCode>
                <c:ptCount val="9"/>
                <c:pt idx="0">
                  <c:v>6.3710091599732524E-2</c:v>
                </c:pt>
                <c:pt idx="1">
                  <c:v>4.8656786444970963E-2</c:v>
                </c:pt>
                <c:pt idx="2">
                  <c:v>3.3479310042681211E-2</c:v>
                </c:pt>
                <c:pt idx="3">
                  <c:v>4.1851237864940834E-2</c:v>
                </c:pt>
                <c:pt idx="4">
                  <c:v>4.4863328542019007E-2</c:v>
                </c:pt>
                <c:pt idx="5">
                  <c:v>1.6314765756486167E-2</c:v>
                </c:pt>
                <c:pt idx="6">
                  <c:v>2.3942691208656428E-2</c:v>
                </c:pt>
                <c:pt idx="7">
                  <c:v>3.5947788839053814E-2</c:v>
                </c:pt>
                <c:pt idx="8">
                  <c:v>2.69719394265194E-2</c:v>
                </c:pt>
              </c:numCache>
            </c:numRef>
          </c:val>
          <c:smooth val="0"/>
        </c:ser>
        <c:ser>
          <c:idx val="1"/>
          <c:order val="1"/>
          <c:tx>
            <c:strRef>
              <c:f>Feuil1!$A$5</c:f>
              <c:strCache>
                <c:ptCount val="1"/>
                <c:pt idx="0">
                  <c:v>Sans convention</c:v>
                </c:pt>
              </c:strCache>
            </c:strRef>
          </c:tx>
          <c:spPr>
            <a:ln>
              <a:solidFill>
                <a:schemeClr val="accent1">
                  <a:lumMod val="60000"/>
                  <a:lumOff val="40000"/>
                </a:schemeClr>
              </a:solidFill>
            </a:ln>
          </c:spPr>
          <c:marker>
            <c:symbol val="diamond"/>
            <c:size val="4"/>
            <c:spPr>
              <a:solidFill>
                <a:schemeClr val="accent1">
                  <a:lumMod val="20000"/>
                  <a:lumOff val="80000"/>
                </a:schemeClr>
              </a:solidFill>
              <a:ln>
                <a:solidFill>
                  <a:schemeClr val="accent1">
                    <a:lumMod val="75000"/>
                  </a:schemeClr>
                </a:solidFill>
              </a:ln>
            </c:spPr>
          </c:marker>
          <c:dLbls>
            <c:dLbl>
              <c:idx val="0"/>
              <c:layout>
                <c:manualLayout>
                  <c:x val="-8.0307396733909728E-2"/>
                  <c:y val="4.9529217769711871E-2"/>
                </c:manualLayout>
              </c:layout>
              <c:tx>
                <c:rich>
                  <a:bodyPr/>
                  <a:lstStyle/>
                  <a:p>
                    <a:r>
                      <a:rPr lang="en-US"/>
                      <a:t>6,1</a:t>
                    </a:r>
                  </a:p>
                </c:rich>
              </c:tx>
              <c:dLblPos val="r"/>
              <c:showLegendKey val="0"/>
              <c:showVal val="1"/>
              <c:showCatName val="0"/>
              <c:showSerName val="0"/>
              <c:showPercent val="0"/>
              <c:showBubbleSize val="0"/>
            </c:dLbl>
            <c:dLbl>
              <c:idx val="1"/>
              <c:layout>
                <c:manualLayout>
                  <c:x val="-0.11873198847262335"/>
                  <c:y val="2.970269980192999E-2"/>
                </c:manualLayout>
              </c:layout>
              <c:tx>
                <c:rich>
                  <a:bodyPr/>
                  <a:lstStyle/>
                  <a:p>
                    <a:r>
                      <a:rPr lang="en-US"/>
                      <a:t>4,3</a:t>
                    </a:r>
                  </a:p>
                </c:rich>
              </c:tx>
              <c:dLblPos val="r"/>
              <c:showLegendKey val="0"/>
              <c:showVal val="1"/>
              <c:showCatName val="0"/>
              <c:showSerName val="0"/>
              <c:showPercent val="0"/>
              <c:showBubbleSize val="0"/>
            </c:dLbl>
            <c:dLbl>
              <c:idx val="2"/>
              <c:layout>
                <c:manualLayout>
                  <c:x val="-6.8780019212295873E-2"/>
                  <c:y val="4.4572588277766403E-2"/>
                </c:manualLayout>
              </c:layout>
              <c:tx>
                <c:rich>
                  <a:bodyPr/>
                  <a:lstStyle/>
                  <a:p>
                    <a:r>
                      <a:rPr lang="en-US"/>
                      <a:t>2,9</a:t>
                    </a:r>
                  </a:p>
                </c:rich>
              </c:tx>
              <c:dLblPos val="r"/>
              <c:showLegendKey val="0"/>
              <c:showVal val="1"/>
              <c:showCatName val="0"/>
              <c:showSerName val="0"/>
              <c:showPercent val="0"/>
              <c:showBubbleSize val="0"/>
            </c:dLbl>
            <c:dLbl>
              <c:idx val="3"/>
              <c:tx>
                <c:rich>
                  <a:bodyPr/>
                  <a:lstStyle/>
                  <a:p>
                    <a:r>
                      <a:rPr lang="en-US"/>
                      <a:t>3,8</a:t>
                    </a:r>
                  </a:p>
                </c:rich>
              </c:tx>
              <c:dLblPos val="b"/>
              <c:showLegendKey val="0"/>
              <c:showVal val="1"/>
              <c:showCatName val="0"/>
              <c:showSerName val="0"/>
              <c:showPercent val="0"/>
              <c:showBubbleSize val="0"/>
            </c:dLbl>
            <c:dLbl>
              <c:idx val="4"/>
              <c:layout>
                <c:manualLayout>
                  <c:x val="-7.83489527785972E-2"/>
                  <c:y val="6.821375952541249E-2"/>
                </c:manualLayout>
              </c:layout>
              <c:tx>
                <c:rich>
                  <a:bodyPr/>
                  <a:lstStyle/>
                  <a:p>
                    <a:r>
                      <a:rPr lang="en-US"/>
                      <a:t>4,4</a:t>
                    </a:r>
                  </a:p>
                </c:rich>
              </c:tx>
              <c:dLblPos val="r"/>
              <c:showLegendKey val="0"/>
              <c:showVal val="1"/>
              <c:showCatName val="0"/>
              <c:showSerName val="0"/>
              <c:showPercent val="0"/>
              <c:showBubbleSize val="0"/>
            </c:dLbl>
            <c:dLbl>
              <c:idx val="5"/>
              <c:layout>
                <c:manualLayout>
                  <c:x val="-0.10132564841498654"/>
                  <c:y val="3.4200743494424302E-3"/>
                </c:manualLayout>
              </c:layout>
              <c:tx>
                <c:rich>
                  <a:bodyPr/>
                  <a:lstStyle/>
                  <a:p>
                    <a:r>
                      <a:rPr lang="en-US"/>
                      <a:t>1,5</a:t>
                    </a:r>
                  </a:p>
                </c:rich>
              </c:tx>
              <c:dLblPos val="r"/>
              <c:showLegendKey val="0"/>
              <c:showVal val="1"/>
              <c:showCatName val="0"/>
              <c:showSerName val="0"/>
              <c:showPercent val="0"/>
              <c:showBubbleSize val="0"/>
            </c:dLbl>
            <c:dLbl>
              <c:idx val="6"/>
              <c:tx>
                <c:rich>
                  <a:bodyPr/>
                  <a:lstStyle/>
                  <a:p>
                    <a:r>
                      <a:rPr lang="en-US"/>
                      <a:t>2,3</a:t>
                    </a:r>
                  </a:p>
                </c:rich>
              </c:tx>
              <c:dLblPos val="b"/>
              <c:showLegendKey val="0"/>
              <c:showVal val="1"/>
              <c:showCatName val="0"/>
              <c:showSerName val="0"/>
              <c:showPercent val="0"/>
              <c:showBubbleSize val="0"/>
            </c:dLbl>
            <c:dLbl>
              <c:idx val="7"/>
              <c:tx>
                <c:rich>
                  <a:bodyPr/>
                  <a:lstStyle/>
                  <a:p>
                    <a:r>
                      <a:rPr lang="en-US"/>
                      <a:t>3,2</a:t>
                    </a:r>
                  </a:p>
                </c:rich>
              </c:tx>
              <c:dLblPos val="b"/>
              <c:showLegendKey val="0"/>
              <c:showVal val="1"/>
              <c:showCatName val="0"/>
              <c:showSerName val="0"/>
              <c:showPercent val="0"/>
              <c:showBubbleSize val="0"/>
            </c:dLbl>
            <c:dLbl>
              <c:idx val="8"/>
              <c:layout>
                <c:manualLayout>
                  <c:x val="-4.7429365446966165E-3"/>
                  <c:y val="-2.7079281756447211E-2"/>
                </c:manualLayout>
              </c:layout>
              <c:tx>
                <c:rich>
                  <a:bodyPr/>
                  <a:lstStyle/>
                  <a:p>
                    <a:r>
                      <a:rPr lang="en-US"/>
                      <a:t>2,9</a:t>
                    </a:r>
                  </a:p>
                </c:rich>
              </c:tx>
              <c:dLblPos val="r"/>
              <c:showLegendKey val="0"/>
              <c:showVal val="1"/>
              <c:showCatName val="0"/>
              <c:showSerName val="0"/>
              <c:showPercent val="0"/>
              <c:showBubbleSize val="0"/>
            </c:dLbl>
            <c:txPr>
              <a:bodyPr/>
              <a:lstStyle/>
              <a:p>
                <a:pPr>
                  <a:defRPr sz="850">
                    <a:solidFill>
                      <a:schemeClr val="tx2">
                        <a:lumMod val="75000"/>
                      </a:schemeClr>
                    </a:solidFill>
                  </a:defRPr>
                </a:pPr>
                <a:endParaRPr lang="fr-FR"/>
              </a:p>
            </c:txPr>
            <c:dLblPos val="b"/>
            <c:showLegendKey val="0"/>
            <c:showVal val="1"/>
            <c:showCatName val="0"/>
            <c:showSerName val="0"/>
            <c:showPercent val="0"/>
            <c:showBubbleSize val="0"/>
            <c:showLeaderLines val="0"/>
          </c:dLbls>
          <c:cat>
            <c:numRef>
              <c:f>Feuil1!$B$3:$J$3</c:f>
              <c:numCache>
                <c:formatCode>00</c:formatCode>
                <c:ptCount val="9"/>
                <c:pt idx="0">
                  <c:v>3</c:v>
                </c:pt>
                <c:pt idx="1">
                  <c:v>4</c:v>
                </c:pt>
                <c:pt idx="2">
                  <c:v>5</c:v>
                </c:pt>
                <c:pt idx="3">
                  <c:v>6</c:v>
                </c:pt>
                <c:pt idx="4">
                  <c:v>7</c:v>
                </c:pt>
                <c:pt idx="5">
                  <c:v>8</c:v>
                </c:pt>
                <c:pt idx="6">
                  <c:v>9</c:v>
                </c:pt>
                <c:pt idx="7">
                  <c:v>10</c:v>
                </c:pt>
                <c:pt idx="8">
                  <c:v>11</c:v>
                </c:pt>
              </c:numCache>
            </c:numRef>
          </c:cat>
          <c:val>
            <c:numRef>
              <c:f>Feuil1!$B$5:$J$5</c:f>
              <c:numCache>
                <c:formatCode>0.0%</c:formatCode>
                <c:ptCount val="9"/>
                <c:pt idx="0">
                  <c:v>6.0800717963673923E-2</c:v>
                </c:pt>
                <c:pt idx="1">
                  <c:v>4.2615321948119934E-2</c:v>
                </c:pt>
                <c:pt idx="2">
                  <c:v>2.9056962245582074E-2</c:v>
                </c:pt>
                <c:pt idx="3">
                  <c:v>3.7885160425544184E-2</c:v>
                </c:pt>
                <c:pt idx="4">
                  <c:v>4.4149255443230354E-2</c:v>
                </c:pt>
                <c:pt idx="5">
                  <c:v>1.5407038614218521E-2</c:v>
                </c:pt>
                <c:pt idx="6">
                  <c:v>2.2850623746637263E-2</c:v>
                </c:pt>
                <c:pt idx="7">
                  <c:v>3.2108451400643112E-2</c:v>
                </c:pt>
                <c:pt idx="8">
                  <c:v>2.8811917570201559E-2</c:v>
                </c:pt>
              </c:numCache>
            </c:numRef>
          </c:val>
          <c:smooth val="0"/>
        </c:ser>
        <c:ser>
          <c:idx val="2"/>
          <c:order val="2"/>
          <c:tx>
            <c:strRef>
              <c:f>Feuil1!$A$6</c:f>
              <c:strCache>
                <c:ptCount val="1"/>
                <c:pt idx="0">
                  <c:v>Avec convention</c:v>
                </c:pt>
              </c:strCache>
            </c:strRef>
          </c:tx>
          <c:spPr>
            <a:ln>
              <a:solidFill>
                <a:srgbClr val="7A003C"/>
              </a:solidFill>
            </a:ln>
          </c:spPr>
          <c:marker>
            <c:symbol val="circle"/>
            <c:size val="4"/>
            <c:spPr>
              <a:solidFill>
                <a:schemeClr val="accent2">
                  <a:lumMod val="60000"/>
                  <a:lumOff val="40000"/>
                </a:schemeClr>
              </a:solidFill>
              <a:ln>
                <a:solidFill>
                  <a:srgbClr val="7A003C"/>
                </a:solidFill>
              </a:ln>
            </c:spPr>
          </c:marker>
          <c:dLbls>
            <c:dLbl>
              <c:idx val="0"/>
              <c:layout>
                <c:manualLayout>
                  <c:x val="-5.7252641690682039E-2"/>
                  <c:y val="4.4646742577251847E-2"/>
                </c:manualLayout>
              </c:layout>
              <c:tx>
                <c:rich>
                  <a:bodyPr/>
                  <a:lstStyle/>
                  <a:p>
                    <a:r>
                      <a:rPr lang="en-US"/>
                      <a:t>7,8</a:t>
                    </a:r>
                  </a:p>
                </c:rich>
              </c:tx>
              <c:dLblPos val="r"/>
              <c:showLegendKey val="0"/>
              <c:showVal val="1"/>
              <c:showCatName val="0"/>
              <c:showSerName val="0"/>
              <c:showPercent val="0"/>
              <c:showBubbleSize val="0"/>
            </c:dLbl>
            <c:dLbl>
              <c:idx val="1"/>
              <c:layout>
                <c:manualLayout>
                  <c:x val="-3.4582132564841745E-3"/>
                  <c:y val="3.7077149742899901E-5"/>
                </c:manualLayout>
              </c:layout>
              <c:tx>
                <c:rich>
                  <a:bodyPr/>
                  <a:lstStyle/>
                  <a:p>
                    <a:r>
                      <a:rPr lang="en-US"/>
                      <a:t>7,7</a:t>
                    </a:r>
                  </a:p>
                </c:rich>
              </c:tx>
              <c:dLblPos val="r"/>
              <c:showLegendKey val="0"/>
              <c:showVal val="1"/>
              <c:showCatName val="0"/>
              <c:showSerName val="0"/>
              <c:showPercent val="0"/>
              <c:showBubbleSize val="0"/>
            </c:dLbl>
            <c:dLbl>
              <c:idx val="2"/>
              <c:layout>
                <c:manualLayout>
                  <c:x val="-3.2022247219097612E-2"/>
                  <c:y val="-6.6658267716535435E-2"/>
                </c:manualLayout>
              </c:layout>
              <c:tx>
                <c:rich>
                  <a:bodyPr/>
                  <a:lstStyle/>
                  <a:p>
                    <a:r>
                      <a:rPr lang="en-US"/>
                      <a:t>5,3</a:t>
                    </a:r>
                  </a:p>
                </c:rich>
              </c:tx>
              <c:dLblPos val="r"/>
              <c:showLegendKey val="0"/>
              <c:showVal val="1"/>
              <c:showCatName val="0"/>
              <c:showSerName val="0"/>
              <c:showPercent val="0"/>
              <c:showBubbleSize val="0"/>
            </c:dLbl>
            <c:dLbl>
              <c:idx val="3"/>
              <c:layout>
                <c:manualLayout>
                  <c:x val="-4.1882804995196934E-2"/>
                  <c:y val="-4.4572588277766403E-2"/>
                </c:manualLayout>
              </c:layout>
              <c:tx>
                <c:rich>
                  <a:bodyPr/>
                  <a:lstStyle/>
                  <a:p>
                    <a:r>
                      <a:rPr lang="en-US"/>
                      <a:t>5,9</a:t>
                    </a:r>
                  </a:p>
                </c:rich>
              </c:tx>
              <c:dLblPos val="r"/>
              <c:showLegendKey val="0"/>
              <c:showVal val="1"/>
              <c:showCatName val="0"/>
              <c:showSerName val="0"/>
              <c:showPercent val="0"/>
              <c:showBubbleSize val="0"/>
            </c:dLbl>
            <c:dLbl>
              <c:idx val="4"/>
              <c:layout>
                <c:manualLayout>
                  <c:x val="-1.7438379974799162E-2"/>
                  <c:y val="-2.7947173270008042E-2"/>
                </c:manualLayout>
              </c:layout>
              <c:tx>
                <c:rich>
                  <a:bodyPr/>
                  <a:lstStyle/>
                  <a:p>
                    <a:r>
                      <a:rPr lang="en-US"/>
                      <a:t>4,8</a:t>
                    </a:r>
                  </a:p>
                </c:rich>
              </c:tx>
              <c:dLblPos val="r"/>
              <c:showLegendKey val="0"/>
              <c:showVal val="1"/>
              <c:showCatName val="0"/>
              <c:showSerName val="0"/>
              <c:showPercent val="0"/>
              <c:showBubbleSize val="0"/>
            </c:dLbl>
            <c:dLbl>
              <c:idx val="5"/>
              <c:layout>
                <c:manualLayout>
                  <c:x val="-3.0088601353673295E-2"/>
                  <c:y val="-7.0275215598050056E-2"/>
                </c:manualLayout>
              </c:layout>
              <c:tx>
                <c:rich>
                  <a:bodyPr/>
                  <a:lstStyle/>
                  <a:p>
                    <a:r>
                      <a:rPr lang="en-US"/>
                      <a:t>2,0</a:t>
                    </a:r>
                  </a:p>
                </c:rich>
              </c:tx>
              <c:dLblPos val="r"/>
              <c:showLegendKey val="0"/>
              <c:showVal val="1"/>
              <c:showCatName val="0"/>
              <c:showSerName val="0"/>
              <c:showPercent val="0"/>
              <c:showBubbleSize val="0"/>
            </c:dLbl>
            <c:dLbl>
              <c:idx val="6"/>
              <c:layout>
                <c:manualLayout>
                  <c:x val="-8.2286111930532979E-2"/>
                  <c:y val="-5.3343871049576122E-2"/>
                </c:manualLayout>
              </c:layout>
              <c:tx>
                <c:rich>
                  <a:bodyPr/>
                  <a:lstStyle/>
                  <a:p>
                    <a:r>
                      <a:rPr lang="en-US"/>
                      <a:t>2,9</a:t>
                    </a:r>
                  </a:p>
                </c:rich>
              </c:tx>
              <c:dLblPos val="r"/>
              <c:showLegendKey val="0"/>
              <c:showVal val="1"/>
              <c:showCatName val="0"/>
              <c:showSerName val="0"/>
              <c:showPercent val="0"/>
              <c:showBubbleSize val="0"/>
            </c:dLbl>
            <c:dLbl>
              <c:idx val="7"/>
              <c:layout>
                <c:manualLayout>
                  <c:x val="-5.1517695734719093E-2"/>
                  <c:y val="-4.8029739776951616E-2"/>
                </c:manualLayout>
              </c:layout>
              <c:tx>
                <c:rich>
                  <a:bodyPr/>
                  <a:lstStyle/>
                  <a:p>
                    <a:r>
                      <a:rPr lang="en-US"/>
                      <a:t>5,2</a:t>
                    </a:r>
                  </a:p>
                </c:rich>
              </c:tx>
              <c:dLblPos val="r"/>
              <c:showLegendKey val="0"/>
              <c:showVal val="1"/>
              <c:showCatName val="0"/>
              <c:showSerName val="0"/>
              <c:showPercent val="0"/>
              <c:showBubbleSize val="0"/>
            </c:dLbl>
            <c:dLbl>
              <c:idx val="8"/>
              <c:layout>
                <c:manualLayout>
                  <c:x val="-2.2453246475121341E-2"/>
                  <c:y val="3.5544890222055592E-2"/>
                </c:manualLayout>
              </c:layout>
              <c:tx>
                <c:rich>
                  <a:bodyPr/>
                  <a:lstStyle/>
                  <a:p>
                    <a:r>
                      <a:rPr lang="en-US"/>
                      <a:t>2,0</a:t>
                    </a:r>
                  </a:p>
                </c:rich>
              </c:tx>
              <c:dLblPos val="r"/>
              <c:showLegendKey val="0"/>
              <c:showVal val="1"/>
              <c:showCatName val="0"/>
              <c:showSerName val="0"/>
              <c:showPercent val="0"/>
              <c:showBubbleSize val="0"/>
            </c:dLbl>
            <c:txPr>
              <a:bodyPr/>
              <a:lstStyle/>
              <a:p>
                <a:pPr>
                  <a:defRPr sz="850">
                    <a:solidFill>
                      <a:srgbClr val="7A003C"/>
                    </a:solidFill>
                  </a:defRPr>
                </a:pPr>
                <a:endParaRPr lang="fr-FR"/>
              </a:p>
            </c:txPr>
            <c:dLblPos val="t"/>
            <c:showLegendKey val="0"/>
            <c:showVal val="1"/>
            <c:showCatName val="0"/>
            <c:showSerName val="0"/>
            <c:showPercent val="0"/>
            <c:showBubbleSize val="0"/>
            <c:showLeaderLines val="0"/>
          </c:dLbls>
          <c:cat>
            <c:numRef>
              <c:f>Feuil1!$B$3:$J$3</c:f>
              <c:numCache>
                <c:formatCode>00</c:formatCode>
                <c:ptCount val="9"/>
                <c:pt idx="0">
                  <c:v>3</c:v>
                </c:pt>
                <c:pt idx="1">
                  <c:v>4</c:v>
                </c:pt>
                <c:pt idx="2">
                  <c:v>5</c:v>
                </c:pt>
                <c:pt idx="3">
                  <c:v>6</c:v>
                </c:pt>
                <c:pt idx="4">
                  <c:v>7</c:v>
                </c:pt>
                <c:pt idx="5">
                  <c:v>8</c:v>
                </c:pt>
                <c:pt idx="6">
                  <c:v>9</c:v>
                </c:pt>
                <c:pt idx="7">
                  <c:v>10</c:v>
                </c:pt>
                <c:pt idx="8">
                  <c:v>11</c:v>
                </c:pt>
              </c:numCache>
            </c:numRef>
          </c:cat>
          <c:val>
            <c:numRef>
              <c:f>Feuil1!$B$6:$J$6</c:f>
              <c:numCache>
                <c:formatCode>0.0%</c:formatCode>
                <c:ptCount val="9"/>
                <c:pt idx="0">
                  <c:v>7.7669587076318714E-2</c:v>
                </c:pt>
                <c:pt idx="1">
                  <c:v>7.7108234596717923E-2</c:v>
                </c:pt>
                <c:pt idx="2">
                  <c:v>5.3362741040609583E-2</c:v>
                </c:pt>
                <c:pt idx="3">
                  <c:v>5.9332290951972198E-2</c:v>
                </c:pt>
                <c:pt idx="4">
                  <c:v>4.7950897208807193E-2</c:v>
                </c:pt>
                <c:pt idx="5">
                  <c:v>2.0232247790047411E-2</c:v>
                </c:pt>
                <c:pt idx="6">
                  <c:v>2.8590138493212791E-2</c:v>
                </c:pt>
                <c:pt idx="7">
                  <c:v>5.1790143276701624E-2</c:v>
                </c:pt>
                <c:pt idx="8">
                  <c:v>2.0100189957520172E-2</c:v>
                </c:pt>
              </c:numCache>
            </c:numRef>
          </c:val>
          <c:smooth val="0"/>
        </c:ser>
        <c:dLbls>
          <c:showLegendKey val="0"/>
          <c:showVal val="0"/>
          <c:showCatName val="0"/>
          <c:showSerName val="0"/>
          <c:showPercent val="0"/>
          <c:showBubbleSize val="0"/>
        </c:dLbls>
        <c:marker val="1"/>
        <c:smooth val="0"/>
        <c:axId val="126134528"/>
        <c:axId val="126152704"/>
      </c:lineChart>
      <c:catAx>
        <c:axId val="126134528"/>
        <c:scaling>
          <c:orientation val="minMax"/>
        </c:scaling>
        <c:delete val="0"/>
        <c:axPos val="b"/>
        <c:numFmt formatCode="00" sourceLinked="1"/>
        <c:majorTickMark val="out"/>
        <c:minorTickMark val="none"/>
        <c:tickLblPos val="nextTo"/>
        <c:spPr>
          <a:ln>
            <a:solidFill>
              <a:schemeClr val="tx1">
                <a:lumMod val="85000"/>
                <a:lumOff val="15000"/>
              </a:schemeClr>
            </a:solidFill>
          </a:ln>
        </c:spPr>
        <c:crossAx val="126152704"/>
        <c:crosses val="autoZero"/>
        <c:auto val="1"/>
        <c:lblAlgn val="ctr"/>
        <c:lblOffset val="100"/>
        <c:noMultiLvlLbl val="0"/>
      </c:catAx>
      <c:valAx>
        <c:axId val="126152704"/>
        <c:scaling>
          <c:orientation val="minMax"/>
          <c:max val="8.0000000000000043E-2"/>
          <c:min val="1.0000000000000005E-2"/>
        </c:scaling>
        <c:delete val="0"/>
        <c:axPos val="l"/>
        <c:majorGridlines>
          <c:spPr>
            <a:ln>
              <a:solidFill>
                <a:schemeClr val="bg1">
                  <a:lumMod val="85000"/>
                </a:schemeClr>
              </a:solidFill>
            </a:ln>
          </c:spPr>
        </c:majorGridlines>
        <c:numFmt formatCode="0%" sourceLinked="0"/>
        <c:majorTickMark val="out"/>
        <c:minorTickMark val="none"/>
        <c:tickLblPos val="nextTo"/>
        <c:spPr>
          <a:ln>
            <a:noFill/>
          </a:ln>
        </c:spPr>
        <c:crossAx val="126134528"/>
        <c:crosses val="autoZero"/>
        <c:crossBetween val="between"/>
      </c:valAx>
      <c:spPr>
        <a:ln>
          <a:solidFill>
            <a:schemeClr val="bg1">
              <a:lumMod val="85000"/>
            </a:schemeClr>
          </a:solidFill>
        </a:ln>
      </c:spPr>
    </c:plotArea>
    <c:legend>
      <c:legendPos val="r"/>
      <c:layout>
        <c:manualLayout>
          <c:xMode val="edge"/>
          <c:yMode val="edge"/>
          <c:x val="0"/>
          <c:y val="1.6836077308518546E-4"/>
          <c:w val="0.97730805805805865"/>
          <c:h val="0.10548213275460709"/>
        </c:manualLayout>
      </c:layout>
      <c:overlay val="0"/>
    </c:legend>
    <c:plotVisOnly val="1"/>
    <c:dispBlanksAs val="gap"/>
    <c:showDLblsOverMax val="0"/>
  </c:chart>
  <c:spPr>
    <a:ln>
      <a:noFill/>
    </a:ln>
  </c:spPr>
  <c:txPr>
    <a:bodyPr/>
    <a:lstStyle/>
    <a:p>
      <a:pPr>
        <a:defRPr sz="900">
          <a:solidFill>
            <a:schemeClr val="tx1">
              <a:lumMod val="85000"/>
              <a:lumOff val="15000"/>
            </a:schemeClr>
          </a:solidFill>
        </a:defRPr>
      </a:pPr>
      <a:endParaRPr lang="fr-F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328796973383512E-2"/>
          <c:y val="0.10672734349271012"/>
          <c:w val="0.42134359418665207"/>
          <c:h val="0.78192229773559674"/>
        </c:manualLayout>
      </c:layout>
      <c:barChart>
        <c:barDir val="col"/>
        <c:grouping val="stacked"/>
        <c:varyColors val="0"/>
        <c:ser>
          <c:idx val="2"/>
          <c:order val="0"/>
          <c:tx>
            <c:strRef>
              <c:f>Feuil1!$E$11</c:f>
              <c:strCache>
                <c:ptCount val="1"/>
                <c:pt idx="0">
                  <c:v> Reste à charge</c:v>
                </c:pt>
              </c:strCache>
            </c:strRef>
          </c:tx>
          <c:spPr>
            <a:solidFill>
              <a:srgbClr val="7A003C"/>
            </a:solidFill>
          </c:spPr>
          <c:invertIfNegative val="0"/>
          <c:dLbls>
            <c:dLbl>
              <c:idx val="0"/>
              <c:layout>
                <c:manualLayout>
                  <c:x val="7.7238403451995813E-2"/>
                  <c:y val="-2.743470754368664E-2"/>
                </c:manualLayout>
              </c:layout>
              <c:numFmt formatCode="#,##0\ &quot;€&quot;" sourceLinked="0"/>
              <c:spPr/>
              <c:txPr>
                <a:bodyPr/>
                <a:lstStyle/>
                <a:p>
                  <a:pPr>
                    <a:defRPr b="1">
                      <a:solidFill>
                        <a:srgbClr val="7A003C"/>
                      </a:solidFill>
                    </a:defRPr>
                  </a:pPr>
                  <a:endParaRPr lang="fr-FR"/>
                </a:p>
              </c:txPr>
              <c:showLegendKey val="0"/>
              <c:showVal val="1"/>
              <c:showCatName val="0"/>
              <c:showSerName val="0"/>
              <c:showPercent val="0"/>
              <c:showBubbleSize val="0"/>
            </c:dLbl>
            <c:dLbl>
              <c:idx val="1"/>
              <c:numFmt formatCode="#,##0\ &quot;€&quot;" sourceLinked="0"/>
              <c:spPr/>
              <c:txPr>
                <a:bodyPr/>
                <a:lstStyle/>
                <a:p>
                  <a:pPr>
                    <a:defRPr b="1">
                      <a:solidFill>
                        <a:schemeClr val="bg1"/>
                      </a:solidFill>
                    </a:defRPr>
                  </a:pPr>
                  <a:endParaRPr lang="fr-FR"/>
                </a:p>
              </c:txPr>
              <c:showLegendKey val="0"/>
              <c:showVal val="1"/>
              <c:showCatName val="0"/>
              <c:showSerName val="0"/>
              <c:showPercent val="0"/>
              <c:showBubbleSize val="0"/>
            </c:dLbl>
            <c:numFmt formatCode="#,##0\ &quot;€&quot;" sourceLinked="0"/>
            <c:txPr>
              <a:bodyPr/>
              <a:lstStyle/>
              <a:p>
                <a:pPr>
                  <a:defRPr b="1"/>
                </a:pPr>
                <a:endParaRPr lang="fr-FR"/>
              </a:p>
            </c:txPr>
            <c:showLegendKey val="0"/>
            <c:showVal val="1"/>
            <c:showCatName val="0"/>
            <c:showSerName val="0"/>
            <c:showPercent val="0"/>
            <c:showBubbleSize val="0"/>
            <c:showLeaderLines val="0"/>
          </c:dLbls>
          <c:cat>
            <c:strRef>
              <c:f>Feuil1!$B$12:$B$13</c:f>
              <c:strCache>
                <c:ptCount val="2"/>
                <c:pt idx="0">
                  <c:v>Optique simple</c:v>
                </c:pt>
                <c:pt idx="1">
                  <c:v>Optique complexe</c:v>
                </c:pt>
              </c:strCache>
            </c:strRef>
          </c:cat>
          <c:val>
            <c:numRef>
              <c:f>Feuil1!$E$12:$E$13</c:f>
              <c:numCache>
                <c:formatCode>General</c:formatCode>
                <c:ptCount val="2"/>
                <c:pt idx="0">
                  <c:v>42.580000000000005</c:v>
                </c:pt>
                <c:pt idx="1">
                  <c:v>226.37</c:v>
                </c:pt>
              </c:numCache>
            </c:numRef>
          </c:val>
        </c:ser>
        <c:ser>
          <c:idx val="1"/>
          <c:order val="1"/>
          <c:tx>
            <c:strRef>
              <c:f>Feuil1!$D$11</c:f>
              <c:strCache>
                <c:ptCount val="1"/>
                <c:pt idx="0">
                  <c:v> OCAM</c:v>
                </c:pt>
              </c:strCache>
            </c:strRef>
          </c:tx>
          <c:spPr>
            <a:solidFill>
              <a:schemeClr val="bg1">
                <a:lumMod val="85000"/>
              </a:schemeClr>
            </a:solidFill>
          </c:spPr>
          <c:invertIfNegative val="0"/>
          <c:dLbls>
            <c:numFmt formatCode="#,##0\ &quot;€&quot;" sourceLinked="0"/>
            <c:txPr>
              <a:bodyPr/>
              <a:lstStyle/>
              <a:p>
                <a:pPr>
                  <a:defRPr b="1"/>
                </a:pPr>
                <a:endParaRPr lang="fr-FR"/>
              </a:p>
            </c:txPr>
            <c:showLegendKey val="0"/>
            <c:showVal val="1"/>
            <c:showCatName val="0"/>
            <c:showSerName val="0"/>
            <c:showPercent val="0"/>
            <c:showBubbleSize val="0"/>
            <c:showLeaderLines val="0"/>
          </c:dLbls>
          <c:cat>
            <c:strRef>
              <c:f>Feuil1!$B$12:$B$13</c:f>
              <c:strCache>
                <c:ptCount val="2"/>
                <c:pt idx="0">
                  <c:v>Optique simple</c:v>
                </c:pt>
                <c:pt idx="1">
                  <c:v>Optique complexe</c:v>
                </c:pt>
              </c:strCache>
            </c:strRef>
          </c:cat>
          <c:val>
            <c:numRef>
              <c:f>Feuil1!$D$12:$D$13</c:f>
              <c:numCache>
                <c:formatCode>General</c:formatCode>
                <c:ptCount val="2"/>
                <c:pt idx="0">
                  <c:v>152.6</c:v>
                </c:pt>
                <c:pt idx="1">
                  <c:v>258.3</c:v>
                </c:pt>
              </c:numCache>
            </c:numRef>
          </c:val>
        </c:ser>
        <c:ser>
          <c:idx val="0"/>
          <c:order val="2"/>
          <c:tx>
            <c:strRef>
              <c:f>Feuil1!$C$11</c:f>
              <c:strCache>
                <c:ptCount val="1"/>
                <c:pt idx="0">
                  <c:v> Assurance maladie</c:v>
                </c:pt>
              </c:strCache>
            </c:strRef>
          </c:tx>
          <c:spPr>
            <a:solidFill>
              <a:srgbClr val="618DC3"/>
            </a:solidFill>
          </c:spPr>
          <c:invertIfNegative val="0"/>
          <c:dLbls>
            <c:dLbl>
              <c:idx val="0"/>
              <c:layout>
                <c:manualLayout>
                  <c:x val="7.9395900755124788E-2"/>
                  <c:y val="-9.6995099947107567E-3"/>
                </c:manualLayout>
              </c:layout>
              <c:showLegendKey val="0"/>
              <c:showVal val="1"/>
              <c:showCatName val="0"/>
              <c:showSerName val="0"/>
              <c:showPercent val="0"/>
              <c:showBubbleSize val="0"/>
            </c:dLbl>
            <c:dLbl>
              <c:idx val="1"/>
              <c:layout>
                <c:manualLayout>
                  <c:x val="8.2497260657951682E-2"/>
                  <c:y val="0"/>
                </c:manualLayout>
              </c:layout>
              <c:showLegendKey val="0"/>
              <c:showVal val="1"/>
              <c:showCatName val="0"/>
              <c:showSerName val="0"/>
              <c:showPercent val="0"/>
              <c:showBubbleSize val="0"/>
            </c:dLbl>
            <c:numFmt formatCode="#,##0\ &quot;€&quot;" sourceLinked="0"/>
            <c:txPr>
              <a:bodyPr/>
              <a:lstStyle/>
              <a:p>
                <a:pPr>
                  <a:defRPr b="1">
                    <a:solidFill>
                      <a:schemeClr val="tx2">
                        <a:lumMod val="75000"/>
                      </a:schemeClr>
                    </a:solidFill>
                  </a:defRPr>
                </a:pPr>
                <a:endParaRPr lang="fr-FR"/>
              </a:p>
            </c:txPr>
            <c:showLegendKey val="0"/>
            <c:showVal val="1"/>
            <c:showCatName val="0"/>
            <c:showSerName val="0"/>
            <c:showPercent val="0"/>
            <c:showBubbleSize val="0"/>
            <c:showLeaderLines val="0"/>
          </c:dLbls>
          <c:cat>
            <c:strRef>
              <c:f>Feuil1!$B$12:$B$13</c:f>
              <c:strCache>
                <c:ptCount val="2"/>
                <c:pt idx="0">
                  <c:v>Optique simple</c:v>
                </c:pt>
                <c:pt idx="1">
                  <c:v>Optique complexe</c:v>
                </c:pt>
              </c:strCache>
            </c:strRef>
          </c:cat>
          <c:val>
            <c:numRef>
              <c:f>Feuil1!$C$12:$C$13</c:f>
              <c:numCache>
                <c:formatCode>General</c:formatCode>
                <c:ptCount val="2"/>
                <c:pt idx="0">
                  <c:v>4.8199999999999985</c:v>
                </c:pt>
                <c:pt idx="1">
                  <c:v>15.33</c:v>
                </c:pt>
              </c:numCache>
            </c:numRef>
          </c:val>
        </c:ser>
        <c:dLbls>
          <c:showLegendKey val="0"/>
          <c:showVal val="0"/>
          <c:showCatName val="0"/>
          <c:showSerName val="0"/>
          <c:showPercent val="0"/>
          <c:showBubbleSize val="0"/>
        </c:dLbls>
        <c:gapWidth val="97"/>
        <c:overlap val="100"/>
        <c:axId val="126331904"/>
        <c:axId val="126337792"/>
      </c:barChart>
      <c:catAx>
        <c:axId val="126331904"/>
        <c:scaling>
          <c:orientation val="minMax"/>
        </c:scaling>
        <c:delete val="0"/>
        <c:axPos val="b"/>
        <c:majorTickMark val="none"/>
        <c:minorTickMark val="none"/>
        <c:tickLblPos val="nextTo"/>
        <c:spPr>
          <a:ln>
            <a:solidFill>
              <a:schemeClr val="tx1">
                <a:lumMod val="85000"/>
                <a:lumOff val="15000"/>
              </a:schemeClr>
            </a:solidFill>
          </a:ln>
        </c:spPr>
        <c:crossAx val="126337792"/>
        <c:crosses val="autoZero"/>
        <c:auto val="1"/>
        <c:lblAlgn val="ctr"/>
        <c:lblOffset val="100"/>
        <c:noMultiLvlLbl val="0"/>
      </c:catAx>
      <c:valAx>
        <c:axId val="126337792"/>
        <c:scaling>
          <c:orientation val="minMax"/>
        </c:scaling>
        <c:delete val="0"/>
        <c:axPos val="l"/>
        <c:majorGridlines>
          <c:spPr>
            <a:ln>
              <a:solidFill>
                <a:schemeClr val="bg1">
                  <a:lumMod val="85000"/>
                </a:schemeClr>
              </a:solidFill>
            </a:ln>
          </c:spPr>
        </c:majorGridlines>
        <c:numFmt formatCode="General" sourceLinked="1"/>
        <c:majorTickMark val="out"/>
        <c:minorTickMark val="none"/>
        <c:tickLblPos val="nextTo"/>
        <c:spPr>
          <a:ln>
            <a:noFill/>
          </a:ln>
        </c:spPr>
        <c:crossAx val="126331904"/>
        <c:crosses val="autoZero"/>
        <c:crossBetween val="between"/>
      </c:valAx>
      <c:spPr>
        <a:ln>
          <a:solidFill>
            <a:schemeClr val="bg1">
              <a:lumMod val="85000"/>
            </a:schemeClr>
          </a:solidFill>
        </a:ln>
      </c:spPr>
    </c:plotArea>
    <c:legend>
      <c:legendPos val="r"/>
      <c:layout>
        <c:manualLayout>
          <c:xMode val="edge"/>
          <c:yMode val="edge"/>
          <c:x val="3.4610503784114482E-2"/>
          <c:y val="1.0977715238066897E-4"/>
          <c:w val="0.49379795972105428"/>
          <c:h val="9.0291907427921314E-2"/>
        </c:manualLayout>
      </c:layout>
      <c:overlay val="0"/>
    </c:legend>
    <c:plotVisOnly val="1"/>
    <c:dispBlanksAs val="gap"/>
    <c:showDLblsOverMax val="0"/>
  </c:chart>
  <c:spPr>
    <a:ln>
      <a:noFill/>
    </a:ln>
  </c:spPr>
  <c:txPr>
    <a:bodyPr/>
    <a:lstStyle/>
    <a:p>
      <a:pPr>
        <a:defRPr sz="900">
          <a:solidFill>
            <a:schemeClr val="tx1">
              <a:lumMod val="85000"/>
              <a:lumOff val="15000"/>
            </a:schemeClr>
          </a:solidFill>
        </a:defRPr>
      </a:pPr>
      <a:endParaRPr lang="fr-F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340935080210409E-2"/>
          <c:y val="3.4396325459317582E-2"/>
          <c:w val="0.89581294039489889"/>
          <c:h val="0.85779908559818485"/>
        </c:manualLayout>
      </c:layout>
      <c:lineChart>
        <c:grouping val="standard"/>
        <c:varyColors val="0"/>
        <c:ser>
          <c:idx val="0"/>
          <c:order val="0"/>
          <c:tx>
            <c:strRef>
              <c:f>Feuil1!$A$50</c:f>
              <c:strCache>
                <c:ptCount val="1"/>
                <c:pt idx="0">
                  <c:v> Adm. centrales</c:v>
                </c:pt>
              </c:strCache>
            </c:strRef>
          </c:tx>
          <c:spPr>
            <a:ln w="28575">
              <a:solidFill>
                <a:srgbClr val="7A003C"/>
              </a:solidFill>
            </a:ln>
          </c:spPr>
          <c:marker>
            <c:symbol val="none"/>
          </c:marker>
          <c:cat>
            <c:numRef>
              <c:f>Feuil1!$D$49:$AI$49</c:f>
              <c:numCache>
                <c:formatCode>00</c:formatCode>
                <c:ptCount val="32"/>
                <c:pt idx="0">
                  <c:v>80</c:v>
                </c:pt>
                <c:pt idx="1">
                  <c:v>81</c:v>
                </c:pt>
                <c:pt idx="2">
                  <c:v>82</c:v>
                </c:pt>
                <c:pt idx="3">
                  <c:v>83</c:v>
                </c:pt>
                <c:pt idx="4">
                  <c:v>84</c:v>
                </c:pt>
                <c:pt idx="5">
                  <c:v>85</c:v>
                </c:pt>
                <c:pt idx="6">
                  <c:v>86</c:v>
                </c:pt>
                <c:pt idx="7">
                  <c:v>87</c:v>
                </c:pt>
                <c:pt idx="8">
                  <c:v>88</c:v>
                </c:pt>
                <c:pt idx="9">
                  <c:v>89</c:v>
                </c:pt>
                <c:pt idx="10">
                  <c:v>90</c:v>
                </c:pt>
                <c:pt idx="11">
                  <c:v>91</c:v>
                </c:pt>
                <c:pt idx="12">
                  <c:v>92</c:v>
                </c:pt>
                <c:pt idx="13">
                  <c:v>93</c:v>
                </c:pt>
                <c:pt idx="14">
                  <c:v>94</c:v>
                </c:pt>
                <c:pt idx="15">
                  <c:v>95</c:v>
                </c:pt>
                <c:pt idx="16">
                  <c:v>96</c:v>
                </c:pt>
                <c:pt idx="17">
                  <c:v>97</c:v>
                </c:pt>
                <c:pt idx="18">
                  <c:v>98</c:v>
                </c:pt>
                <c:pt idx="19">
                  <c:v>99</c:v>
                </c:pt>
                <c:pt idx="20">
                  <c:v>0</c:v>
                </c:pt>
                <c:pt idx="21">
                  <c:v>1</c:v>
                </c:pt>
                <c:pt idx="22">
                  <c:v>2</c:v>
                </c:pt>
                <c:pt idx="23">
                  <c:v>3</c:v>
                </c:pt>
                <c:pt idx="24">
                  <c:v>4</c:v>
                </c:pt>
                <c:pt idx="25">
                  <c:v>5</c:v>
                </c:pt>
                <c:pt idx="26">
                  <c:v>6</c:v>
                </c:pt>
                <c:pt idx="27">
                  <c:v>7</c:v>
                </c:pt>
                <c:pt idx="28">
                  <c:v>8</c:v>
                </c:pt>
                <c:pt idx="29">
                  <c:v>9</c:v>
                </c:pt>
                <c:pt idx="30">
                  <c:v>10</c:v>
                </c:pt>
                <c:pt idx="31">
                  <c:v>11</c:v>
                </c:pt>
              </c:numCache>
            </c:numRef>
          </c:cat>
          <c:val>
            <c:numRef>
              <c:f>Feuil1!$D$50:$AI$50</c:f>
              <c:numCache>
                <c:formatCode>#,##0.0</c:formatCode>
                <c:ptCount val="32"/>
                <c:pt idx="0">
                  <c:v>101.765</c:v>
                </c:pt>
                <c:pt idx="1">
                  <c:v>121.69598999999998</c:v>
                </c:pt>
                <c:pt idx="2">
                  <c:v>143.50248000000047</c:v>
                </c:pt>
                <c:pt idx="3">
                  <c:v>161.43646000000001</c:v>
                </c:pt>
                <c:pt idx="4">
                  <c:v>178.53725000000003</c:v>
                </c:pt>
                <c:pt idx="5">
                  <c:v>193.89110000000107</c:v>
                </c:pt>
                <c:pt idx="6">
                  <c:v>201.57663000000002</c:v>
                </c:pt>
                <c:pt idx="7">
                  <c:v>208.04630000000003</c:v>
                </c:pt>
                <c:pt idx="8">
                  <c:v>220.35049000000149</c:v>
                </c:pt>
                <c:pt idx="9">
                  <c:v>228.17971999999995</c:v>
                </c:pt>
                <c:pt idx="10">
                  <c:v>241.13090000000003</c:v>
                </c:pt>
                <c:pt idx="11">
                  <c:v>251.12809000000001</c:v>
                </c:pt>
                <c:pt idx="12">
                  <c:v>266.08903000000004</c:v>
                </c:pt>
                <c:pt idx="13">
                  <c:v>290.49286999999993</c:v>
                </c:pt>
                <c:pt idx="14">
                  <c:v>292.35892000000001</c:v>
                </c:pt>
                <c:pt idx="15">
                  <c:v>301.35910000000001</c:v>
                </c:pt>
                <c:pt idx="16">
                  <c:v>308.21230000000003</c:v>
                </c:pt>
                <c:pt idx="17">
                  <c:v>318.08649999999869</c:v>
                </c:pt>
                <c:pt idx="18">
                  <c:v>317.30629999999923</c:v>
                </c:pt>
                <c:pt idx="19">
                  <c:v>330.93269999999899</c:v>
                </c:pt>
                <c:pt idx="20">
                  <c:v>333.94300000000004</c:v>
                </c:pt>
                <c:pt idx="21">
                  <c:v>348.29079999999863</c:v>
                </c:pt>
                <c:pt idx="22">
                  <c:v>368.78590000000003</c:v>
                </c:pt>
                <c:pt idx="23">
                  <c:v>373.76780000000002</c:v>
                </c:pt>
                <c:pt idx="24">
                  <c:v>391.39599999999899</c:v>
                </c:pt>
                <c:pt idx="25">
                  <c:v>401.03889999999899</c:v>
                </c:pt>
                <c:pt idx="26">
                  <c:v>395.20287000000002</c:v>
                </c:pt>
                <c:pt idx="27">
                  <c:v>410.7878</c:v>
                </c:pt>
                <c:pt idx="28">
                  <c:v>425.84900000000232</c:v>
                </c:pt>
                <c:pt idx="29">
                  <c:v>435.84100000000001</c:v>
                </c:pt>
                <c:pt idx="30">
                  <c:v>473.59399999999869</c:v>
                </c:pt>
                <c:pt idx="31">
                  <c:v>446.67200000000008</c:v>
                </c:pt>
              </c:numCache>
            </c:numRef>
          </c:val>
          <c:smooth val="0"/>
        </c:ser>
        <c:ser>
          <c:idx val="1"/>
          <c:order val="1"/>
          <c:tx>
            <c:strRef>
              <c:f>Feuil1!$A$51</c:f>
              <c:strCache>
                <c:ptCount val="1"/>
                <c:pt idx="0">
                  <c:v> Adm. locales</c:v>
                </c:pt>
              </c:strCache>
            </c:strRef>
          </c:tx>
          <c:spPr>
            <a:ln w="31750">
              <a:solidFill>
                <a:srgbClr val="618DC3"/>
              </a:solidFill>
              <a:prstDash val="solid"/>
            </a:ln>
          </c:spPr>
          <c:marker>
            <c:symbol val="none"/>
          </c:marker>
          <c:cat>
            <c:numRef>
              <c:f>Feuil1!$D$49:$AI$49</c:f>
              <c:numCache>
                <c:formatCode>00</c:formatCode>
                <c:ptCount val="32"/>
                <c:pt idx="0">
                  <c:v>80</c:v>
                </c:pt>
                <c:pt idx="1">
                  <c:v>81</c:v>
                </c:pt>
                <c:pt idx="2">
                  <c:v>82</c:v>
                </c:pt>
                <c:pt idx="3">
                  <c:v>83</c:v>
                </c:pt>
                <c:pt idx="4">
                  <c:v>84</c:v>
                </c:pt>
                <c:pt idx="5">
                  <c:v>85</c:v>
                </c:pt>
                <c:pt idx="6">
                  <c:v>86</c:v>
                </c:pt>
                <c:pt idx="7">
                  <c:v>87</c:v>
                </c:pt>
                <c:pt idx="8">
                  <c:v>88</c:v>
                </c:pt>
                <c:pt idx="9">
                  <c:v>89</c:v>
                </c:pt>
                <c:pt idx="10">
                  <c:v>90</c:v>
                </c:pt>
                <c:pt idx="11">
                  <c:v>91</c:v>
                </c:pt>
                <c:pt idx="12">
                  <c:v>92</c:v>
                </c:pt>
                <c:pt idx="13">
                  <c:v>93</c:v>
                </c:pt>
                <c:pt idx="14">
                  <c:v>94</c:v>
                </c:pt>
                <c:pt idx="15">
                  <c:v>95</c:v>
                </c:pt>
                <c:pt idx="16">
                  <c:v>96</c:v>
                </c:pt>
                <c:pt idx="17">
                  <c:v>97</c:v>
                </c:pt>
                <c:pt idx="18">
                  <c:v>98</c:v>
                </c:pt>
                <c:pt idx="19">
                  <c:v>99</c:v>
                </c:pt>
                <c:pt idx="20">
                  <c:v>0</c:v>
                </c:pt>
                <c:pt idx="21">
                  <c:v>1</c:v>
                </c:pt>
                <c:pt idx="22">
                  <c:v>2</c:v>
                </c:pt>
                <c:pt idx="23">
                  <c:v>3</c:v>
                </c:pt>
                <c:pt idx="24">
                  <c:v>4</c:v>
                </c:pt>
                <c:pt idx="25">
                  <c:v>5</c:v>
                </c:pt>
                <c:pt idx="26">
                  <c:v>6</c:v>
                </c:pt>
                <c:pt idx="27">
                  <c:v>7</c:v>
                </c:pt>
                <c:pt idx="28">
                  <c:v>8</c:v>
                </c:pt>
                <c:pt idx="29">
                  <c:v>9</c:v>
                </c:pt>
                <c:pt idx="30">
                  <c:v>10</c:v>
                </c:pt>
                <c:pt idx="31">
                  <c:v>11</c:v>
                </c:pt>
              </c:numCache>
            </c:numRef>
          </c:cat>
          <c:val>
            <c:numRef>
              <c:f>Feuil1!$D$51:$AI$51</c:f>
              <c:numCache>
                <c:formatCode>#,##0.0</c:formatCode>
                <c:ptCount val="32"/>
                <c:pt idx="0">
                  <c:v>35.439010000000003</c:v>
                </c:pt>
                <c:pt idx="1">
                  <c:v>41.442150000000012</c:v>
                </c:pt>
                <c:pt idx="2">
                  <c:v>49.143790000000003</c:v>
                </c:pt>
                <c:pt idx="3">
                  <c:v>55.581430000000005</c:v>
                </c:pt>
                <c:pt idx="4">
                  <c:v>57.317199999999993</c:v>
                </c:pt>
                <c:pt idx="5">
                  <c:v>63.321800000000003</c:v>
                </c:pt>
                <c:pt idx="6">
                  <c:v>70.205069999999992</c:v>
                </c:pt>
                <c:pt idx="7">
                  <c:v>73.81228999999999</c:v>
                </c:pt>
                <c:pt idx="8">
                  <c:v>80.483109999999996</c:v>
                </c:pt>
                <c:pt idx="9">
                  <c:v>87.022869999999998</c:v>
                </c:pt>
                <c:pt idx="10">
                  <c:v>92.965940000000003</c:v>
                </c:pt>
                <c:pt idx="11">
                  <c:v>101.16369000000002</c:v>
                </c:pt>
                <c:pt idx="12">
                  <c:v>106.26095000000002</c:v>
                </c:pt>
                <c:pt idx="13">
                  <c:v>108.31126000000066</c:v>
                </c:pt>
                <c:pt idx="14">
                  <c:v>113.81420000000061</c:v>
                </c:pt>
                <c:pt idx="15">
                  <c:v>117.84990000000002</c:v>
                </c:pt>
                <c:pt idx="16">
                  <c:v>123.2059</c:v>
                </c:pt>
                <c:pt idx="17">
                  <c:v>122.5565</c:v>
                </c:pt>
                <c:pt idx="18">
                  <c:v>126.19410000000002</c:v>
                </c:pt>
                <c:pt idx="19">
                  <c:v>131.65690000000001</c:v>
                </c:pt>
                <c:pt idx="20">
                  <c:v>141.29549999999998</c:v>
                </c:pt>
                <c:pt idx="21">
                  <c:v>144.69830000000007</c:v>
                </c:pt>
                <c:pt idx="22">
                  <c:v>154.05140000000117</c:v>
                </c:pt>
                <c:pt idx="23">
                  <c:v>162.97070000000005</c:v>
                </c:pt>
                <c:pt idx="24">
                  <c:v>177.59870000000001</c:v>
                </c:pt>
                <c:pt idx="25">
                  <c:v>187.1454</c:v>
                </c:pt>
                <c:pt idx="26">
                  <c:v>198.53330000000003</c:v>
                </c:pt>
                <c:pt idx="27">
                  <c:v>212.90800000000004</c:v>
                </c:pt>
                <c:pt idx="28">
                  <c:v>222.40900000000002</c:v>
                </c:pt>
                <c:pt idx="29">
                  <c:v>229.82500000000007</c:v>
                </c:pt>
                <c:pt idx="30">
                  <c:v>229.20099999999999</c:v>
                </c:pt>
                <c:pt idx="31">
                  <c:v>234.43100000000001</c:v>
                </c:pt>
              </c:numCache>
            </c:numRef>
          </c:val>
          <c:smooth val="0"/>
        </c:ser>
        <c:ser>
          <c:idx val="2"/>
          <c:order val="2"/>
          <c:tx>
            <c:strRef>
              <c:f>Feuil1!$A$52</c:f>
              <c:strCache>
                <c:ptCount val="1"/>
                <c:pt idx="0">
                  <c:v> Adm. de Sécurité sociale</c:v>
                </c:pt>
              </c:strCache>
            </c:strRef>
          </c:tx>
          <c:spPr>
            <a:ln>
              <a:solidFill>
                <a:sysClr val="window" lastClr="FFFFFF">
                  <a:lumMod val="65000"/>
                </a:sysClr>
              </a:solidFill>
            </a:ln>
          </c:spPr>
          <c:marker>
            <c:symbol val="none"/>
          </c:marker>
          <c:cat>
            <c:numRef>
              <c:f>Feuil1!$D$49:$AI$49</c:f>
              <c:numCache>
                <c:formatCode>00</c:formatCode>
                <c:ptCount val="32"/>
                <c:pt idx="0">
                  <c:v>80</c:v>
                </c:pt>
                <c:pt idx="1">
                  <c:v>81</c:v>
                </c:pt>
                <c:pt idx="2">
                  <c:v>82</c:v>
                </c:pt>
                <c:pt idx="3">
                  <c:v>83</c:v>
                </c:pt>
                <c:pt idx="4">
                  <c:v>84</c:v>
                </c:pt>
                <c:pt idx="5">
                  <c:v>85</c:v>
                </c:pt>
                <c:pt idx="6">
                  <c:v>86</c:v>
                </c:pt>
                <c:pt idx="7">
                  <c:v>87</c:v>
                </c:pt>
                <c:pt idx="8">
                  <c:v>88</c:v>
                </c:pt>
                <c:pt idx="9">
                  <c:v>89</c:v>
                </c:pt>
                <c:pt idx="10">
                  <c:v>90</c:v>
                </c:pt>
                <c:pt idx="11">
                  <c:v>91</c:v>
                </c:pt>
                <c:pt idx="12">
                  <c:v>92</c:v>
                </c:pt>
                <c:pt idx="13">
                  <c:v>93</c:v>
                </c:pt>
                <c:pt idx="14">
                  <c:v>94</c:v>
                </c:pt>
                <c:pt idx="15">
                  <c:v>95</c:v>
                </c:pt>
                <c:pt idx="16">
                  <c:v>96</c:v>
                </c:pt>
                <c:pt idx="17">
                  <c:v>97</c:v>
                </c:pt>
                <c:pt idx="18">
                  <c:v>98</c:v>
                </c:pt>
                <c:pt idx="19">
                  <c:v>99</c:v>
                </c:pt>
                <c:pt idx="20">
                  <c:v>0</c:v>
                </c:pt>
                <c:pt idx="21">
                  <c:v>1</c:v>
                </c:pt>
                <c:pt idx="22">
                  <c:v>2</c:v>
                </c:pt>
                <c:pt idx="23">
                  <c:v>3</c:v>
                </c:pt>
                <c:pt idx="24">
                  <c:v>4</c:v>
                </c:pt>
                <c:pt idx="25">
                  <c:v>5</c:v>
                </c:pt>
                <c:pt idx="26">
                  <c:v>6</c:v>
                </c:pt>
                <c:pt idx="27">
                  <c:v>7</c:v>
                </c:pt>
                <c:pt idx="28">
                  <c:v>8</c:v>
                </c:pt>
                <c:pt idx="29">
                  <c:v>9</c:v>
                </c:pt>
                <c:pt idx="30">
                  <c:v>10</c:v>
                </c:pt>
                <c:pt idx="31">
                  <c:v>11</c:v>
                </c:pt>
              </c:numCache>
            </c:numRef>
          </c:cat>
          <c:val>
            <c:numRef>
              <c:f>Feuil1!$D$52:$AI$52</c:f>
              <c:numCache>
                <c:formatCode>#,##0.0</c:formatCode>
                <c:ptCount val="32"/>
                <c:pt idx="0">
                  <c:v>88.647920000000127</c:v>
                </c:pt>
                <c:pt idx="1">
                  <c:v>105.41983999999999</c:v>
                </c:pt>
                <c:pt idx="2">
                  <c:v>125.41439000000022</c:v>
                </c:pt>
                <c:pt idx="3">
                  <c:v>139.57657999999998</c:v>
                </c:pt>
                <c:pt idx="4">
                  <c:v>152.66748000000001</c:v>
                </c:pt>
                <c:pt idx="5">
                  <c:v>163.99840000000125</c:v>
                </c:pt>
                <c:pt idx="6">
                  <c:v>174.82857000000001</c:v>
                </c:pt>
                <c:pt idx="7">
                  <c:v>182.09784000000047</c:v>
                </c:pt>
                <c:pt idx="8">
                  <c:v>194.21950999999837</c:v>
                </c:pt>
                <c:pt idx="9">
                  <c:v>207.39035000000004</c:v>
                </c:pt>
                <c:pt idx="10">
                  <c:v>221.27729000000002</c:v>
                </c:pt>
                <c:pt idx="11">
                  <c:v>236.01652999999996</c:v>
                </c:pt>
                <c:pt idx="12">
                  <c:v>252.68256999999997</c:v>
                </c:pt>
                <c:pt idx="13">
                  <c:v>265.61489999999998</c:v>
                </c:pt>
                <c:pt idx="14">
                  <c:v>273.22229999999894</c:v>
                </c:pt>
                <c:pt idx="15">
                  <c:v>284.97329999999869</c:v>
                </c:pt>
                <c:pt idx="16">
                  <c:v>295.18329999999969</c:v>
                </c:pt>
                <c:pt idx="17">
                  <c:v>302.80070000000006</c:v>
                </c:pt>
                <c:pt idx="18">
                  <c:v>311.82829999999899</c:v>
                </c:pt>
                <c:pt idx="19">
                  <c:v>320.79549999999864</c:v>
                </c:pt>
                <c:pt idx="20">
                  <c:v>331.65640000000008</c:v>
                </c:pt>
                <c:pt idx="21">
                  <c:v>347.90099999999899</c:v>
                </c:pt>
                <c:pt idx="22">
                  <c:v>367.30650000000003</c:v>
                </c:pt>
                <c:pt idx="23">
                  <c:v>386.64430000000038</c:v>
                </c:pt>
                <c:pt idx="24">
                  <c:v>406.18959999999993</c:v>
                </c:pt>
                <c:pt idx="25">
                  <c:v>426.14419999999996</c:v>
                </c:pt>
                <c:pt idx="26">
                  <c:v>438.91599999999869</c:v>
                </c:pt>
                <c:pt idx="27">
                  <c:v>461.58599999999899</c:v>
                </c:pt>
                <c:pt idx="28">
                  <c:v>475.08499999999964</c:v>
                </c:pt>
                <c:pt idx="29">
                  <c:v>497.21200000000005</c:v>
                </c:pt>
                <c:pt idx="30">
                  <c:v>515.27400000000353</c:v>
                </c:pt>
                <c:pt idx="31">
                  <c:v>531.52</c:v>
                </c:pt>
              </c:numCache>
            </c:numRef>
          </c:val>
          <c:smooth val="0"/>
        </c:ser>
        <c:dLbls>
          <c:showLegendKey val="0"/>
          <c:showVal val="0"/>
          <c:showCatName val="0"/>
          <c:showSerName val="0"/>
          <c:showPercent val="0"/>
          <c:showBubbleSize val="0"/>
        </c:dLbls>
        <c:marker val="1"/>
        <c:smooth val="0"/>
        <c:axId val="85041152"/>
        <c:axId val="85042688"/>
      </c:lineChart>
      <c:catAx>
        <c:axId val="85041152"/>
        <c:scaling>
          <c:orientation val="minMax"/>
        </c:scaling>
        <c:delete val="0"/>
        <c:axPos val="b"/>
        <c:numFmt formatCode="00" sourceLinked="1"/>
        <c:majorTickMark val="out"/>
        <c:minorTickMark val="none"/>
        <c:tickLblPos val="low"/>
        <c:spPr>
          <a:ln>
            <a:solidFill>
              <a:sysClr val="windowText" lastClr="000000">
                <a:lumMod val="85000"/>
                <a:lumOff val="15000"/>
              </a:sysClr>
            </a:solidFill>
          </a:ln>
        </c:spPr>
        <c:crossAx val="85042688"/>
        <c:crosses val="autoZero"/>
        <c:auto val="1"/>
        <c:lblAlgn val="ctr"/>
        <c:lblOffset val="100"/>
        <c:tickLblSkip val="2"/>
        <c:tickMarkSkip val="2"/>
        <c:noMultiLvlLbl val="0"/>
      </c:catAx>
      <c:valAx>
        <c:axId val="85042688"/>
        <c:scaling>
          <c:orientation val="minMax"/>
        </c:scaling>
        <c:delete val="0"/>
        <c:axPos val="l"/>
        <c:majorGridlines>
          <c:spPr>
            <a:ln w="6350">
              <a:solidFill>
                <a:sysClr val="window" lastClr="FFFFFF">
                  <a:lumMod val="85000"/>
                </a:sysClr>
              </a:solidFill>
              <a:prstDash val="solid"/>
            </a:ln>
          </c:spPr>
        </c:majorGridlines>
        <c:numFmt formatCode="#,##0" sourceLinked="0"/>
        <c:majorTickMark val="none"/>
        <c:minorTickMark val="none"/>
        <c:tickLblPos val="nextTo"/>
        <c:spPr>
          <a:ln>
            <a:noFill/>
          </a:ln>
        </c:spPr>
        <c:crossAx val="85041152"/>
        <c:crosses val="autoZero"/>
        <c:crossBetween val="midCat"/>
      </c:valAx>
      <c:spPr>
        <a:ln>
          <a:solidFill>
            <a:sysClr val="window" lastClr="FFFFFF">
              <a:lumMod val="85000"/>
            </a:sysClr>
          </a:solidFill>
        </a:ln>
      </c:spPr>
    </c:plotArea>
    <c:legend>
      <c:legendPos val="t"/>
      <c:layout>
        <c:manualLayout>
          <c:xMode val="edge"/>
          <c:yMode val="edge"/>
          <c:x val="5.4177122518438904E-2"/>
          <c:y val="3.7748563367905004E-2"/>
          <c:w val="0.72707166055281924"/>
          <c:h val="0.13605420467815968"/>
        </c:manualLayout>
      </c:layout>
      <c:overlay val="0"/>
    </c:legend>
    <c:plotVisOnly val="1"/>
    <c:dispBlanksAs val="gap"/>
    <c:showDLblsOverMax val="0"/>
  </c:chart>
  <c:spPr>
    <a:ln>
      <a:noFill/>
    </a:ln>
  </c:spPr>
  <c:txPr>
    <a:bodyPr/>
    <a:lstStyle/>
    <a:p>
      <a:pPr>
        <a:defRPr sz="900">
          <a:solidFill>
            <a:schemeClr val="tx1">
              <a:lumMod val="85000"/>
              <a:lumOff val="15000"/>
            </a:schemeClr>
          </a:solidFill>
        </a:defRPr>
      </a:pPr>
      <a:endParaRPr lang="fr-F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5832982700711161"/>
          <c:y val="2.9499827271504981E-2"/>
          <c:w val="0.49414278914880166"/>
          <c:h val="0.91298833295254744"/>
        </c:manualLayout>
      </c:layout>
      <c:doughnutChart>
        <c:varyColors val="1"/>
        <c:ser>
          <c:idx val="0"/>
          <c:order val="0"/>
          <c:tx>
            <c:strRef>
              <c:f>Feuil1!$C$5</c:f>
              <c:strCache>
                <c:ptCount val="1"/>
                <c:pt idx="0">
                  <c:v>Dépenses publiques 2011</c:v>
                </c:pt>
              </c:strCache>
            </c:strRef>
          </c:tx>
          <c:dPt>
            <c:idx val="0"/>
            <c:bubble3D val="0"/>
            <c:spPr>
              <a:solidFill>
                <a:srgbClr val="7A003C"/>
              </a:solidFill>
            </c:spPr>
          </c:dPt>
          <c:dPt>
            <c:idx val="1"/>
            <c:bubble3D val="0"/>
            <c:spPr>
              <a:solidFill>
                <a:srgbClr val="618DC3"/>
              </a:solidFill>
            </c:spPr>
          </c:dPt>
          <c:dPt>
            <c:idx val="2"/>
            <c:bubble3D val="0"/>
            <c:spPr>
              <a:solidFill>
                <a:schemeClr val="bg1">
                  <a:lumMod val="65000"/>
                </a:schemeClr>
              </a:solidFill>
            </c:spPr>
          </c:dPt>
          <c:dLbls>
            <c:dLbl>
              <c:idx val="1"/>
              <c:spPr/>
              <c:txPr>
                <a:bodyPr/>
                <a:lstStyle/>
                <a:p>
                  <a:pPr>
                    <a:defRPr b="1">
                      <a:solidFill>
                        <a:schemeClr val="bg1"/>
                      </a:solidFill>
                    </a:defRPr>
                  </a:pPr>
                  <a:endParaRPr lang="fr-FR"/>
                </a:p>
              </c:txPr>
              <c:showLegendKey val="0"/>
              <c:showVal val="0"/>
              <c:showCatName val="0"/>
              <c:showSerName val="0"/>
              <c:showPercent val="1"/>
              <c:showBubbleSize val="0"/>
            </c:dLbl>
            <c:txPr>
              <a:bodyPr/>
              <a:lstStyle/>
              <a:p>
                <a:pPr>
                  <a:defRPr b="1">
                    <a:solidFill>
                      <a:schemeClr val="bg1">
                        <a:lumMod val="95000"/>
                      </a:schemeClr>
                    </a:solidFill>
                  </a:defRPr>
                </a:pPr>
                <a:endParaRPr lang="fr-FR"/>
              </a:p>
            </c:txPr>
            <c:showLegendKey val="0"/>
            <c:showVal val="0"/>
            <c:showCatName val="0"/>
            <c:showSerName val="0"/>
            <c:showPercent val="1"/>
            <c:showBubbleSize val="0"/>
            <c:showLeaderLines val="1"/>
          </c:dLbls>
          <c:cat>
            <c:strRef>
              <c:f>Feuil1!$A$6:$A$8</c:f>
              <c:strCache>
                <c:ptCount val="3"/>
                <c:pt idx="0">
                  <c:v> Adm. centrale</c:v>
                </c:pt>
                <c:pt idx="1">
                  <c:v> Adm. locales</c:v>
                </c:pt>
                <c:pt idx="2">
                  <c:v> Adm. de Sécurité sociale</c:v>
                </c:pt>
              </c:strCache>
            </c:strRef>
          </c:cat>
          <c:val>
            <c:numRef>
              <c:f>Feuil1!$C$6:$C$8</c:f>
              <c:numCache>
                <c:formatCode>#,##0.0</c:formatCode>
                <c:ptCount val="3"/>
                <c:pt idx="0">
                  <c:v>446.67200000000008</c:v>
                </c:pt>
                <c:pt idx="1">
                  <c:v>234.43100000000001</c:v>
                </c:pt>
                <c:pt idx="2">
                  <c:v>531.52</c:v>
                </c:pt>
              </c:numCache>
            </c:numRef>
          </c:val>
        </c:ser>
        <c:dLbls>
          <c:showLegendKey val="0"/>
          <c:showVal val="0"/>
          <c:showCatName val="0"/>
          <c:showSerName val="0"/>
          <c:showPercent val="0"/>
          <c:showBubbleSize val="0"/>
          <c:showLeaderLines val="1"/>
        </c:dLbls>
        <c:firstSliceAng val="72"/>
        <c:holeSize val="70"/>
      </c:doughnutChart>
    </c:plotArea>
    <c:plotVisOnly val="1"/>
    <c:dispBlanksAs val="zero"/>
    <c:showDLblsOverMax val="0"/>
  </c:chart>
  <c:spPr>
    <a:noFill/>
    <a:ln>
      <a:noFill/>
    </a:ln>
  </c:spPr>
  <c:txPr>
    <a:bodyPr/>
    <a:lstStyle/>
    <a:p>
      <a:pPr>
        <a:defRPr>
          <a:solidFill>
            <a:schemeClr val="tx1">
              <a:lumMod val="85000"/>
              <a:lumOff val="15000"/>
            </a:schemeClr>
          </a:solidFill>
        </a:defRPr>
      </a:pPr>
      <a:endParaRPr lang="fr-FR"/>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733626319965933E-2"/>
          <c:y val="9.4588629177258743E-2"/>
          <c:w val="0.46125300616492704"/>
          <c:h val="0.78086138838944341"/>
        </c:manualLayout>
      </c:layout>
      <c:doughnutChart>
        <c:varyColors val="1"/>
        <c:ser>
          <c:idx val="0"/>
          <c:order val="0"/>
          <c:tx>
            <c:strRef>
              <c:f>Feuil1!$B$5</c:f>
              <c:strCache>
                <c:ptCount val="1"/>
                <c:pt idx="0">
                  <c:v>Déficit en 2011</c:v>
                </c:pt>
              </c:strCache>
            </c:strRef>
          </c:tx>
          <c:dPt>
            <c:idx val="0"/>
            <c:bubble3D val="0"/>
            <c:spPr>
              <a:solidFill>
                <a:srgbClr val="7A003C"/>
              </a:solidFill>
            </c:spPr>
          </c:dPt>
          <c:dPt>
            <c:idx val="1"/>
            <c:bubble3D val="0"/>
            <c:spPr>
              <a:solidFill>
                <a:srgbClr val="618DC3"/>
              </a:solidFill>
            </c:spPr>
          </c:dPt>
          <c:dPt>
            <c:idx val="2"/>
            <c:bubble3D val="0"/>
            <c:spPr>
              <a:solidFill>
                <a:schemeClr val="bg1">
                  <a:lumMod val="65000"/>
                </a:schemeClr>
              </a:solidFill>
            </c:spPr>
          </c:dPt>
          <c:dLbls>
            <c:dLbl>
              <c:idx val="0"/>
              <c:tx>
                <c:rich>
                  <a:bodyPr/>
                  <a:lstStyle/>
                  <a:p>
                    <a:r>
                      <a:rPr lang="fr-FR"/>
                      <a:t>87%</a:t>
                    </a:r>
                  </a:p>
                </c:rich>
              </c:tx>
              <c:showLegendKey val="0"/>
              <c:showVal val="0"/>
              <c:showCatName val="0"/>
              <c:showSerName val="0"/>
              <c:showPercent val="1"/>
              <c:showBubbleSize val="0"/>
            </c:dLbl>
            <c:dLbl>
              <c:idx val="1"/>
              <c:layout>
                <c:manualLayout>
                  <c:x val="5.8419228178903014E-2"/>
                  <c:y val="-8.2539723804386358E-2"/>
                </c:manualLayout>
              </c:layout>
              <c:tx>
                <c:rich>
                  <a:bodyPr/>
                  <a:lstStyle/>
                  <a:p>
                    <a:pPr>
                      <a:defRPr b="1">
                        <a:solidFill>
                          <a:schemeClr val="tx2">
                            <a:lumMod val="75000"/>
                          </a:schemeClr>
                        </a:solidFill>
                      </a:defRPr>
                    </a:pPr>
                    <a:r>
                      <a:rPr lang="en-US"/>
                      <a:t>1%</a:t>
                    </a:r>
                  </a:p>
                </c:rich>
              </c:tx>
              <c:spPr/>
              <c:showLegendKey val="0"/>
              <c:showVal val="0"/>
              <c:showCatName val="0"/>
              <c:showSerName val="0"/>
              <c:showPercent val="1"/>
              <c:showBubbleSize val="0"/>
            </c:dLbl>
            <c:dLbl>
              <c:idx val="2"/>
              <c:tx>
                <c:rich>
                  <a:bodyPr/>
                  <a:lstStyle/>
                  <a:p>
                    <a:r>
                      <a:rPr lang="fr-FR"/>
                      <a:t>12%</a:t>
                    </a:r>
                  </a:p>
                </c:rich>
              </c:tx>
              <c:showLegendKey val="0"/>
              <c:showVal val="0"/>
              <c:showCatName val="0"/>
              <c:showSerName val="0"/>
              <c:showPercent val="1"/>
              <c:showBubbleSize val="0"/>
            </c:dLbl>
            <c:txPr>
              <a:bodyPr/>
              <a:lstStyle/>
              <a:p>
                <a:pPr>
                  <a:defRPr b="1">
                    <a:solidFill>
                      <a:schemeClr val="bg1"/>
                    </a:solidFill>
                  </a:defRPr>
                </a:pPr>
                <a:endParaRPr lang="fr-FR"/>
              </a:p>
            </c:txPr>
            <c:showLegendKey val="0"/>
            <c:showVal val="0"/>
            <c:showCatName val="0"/>
            <c:showSerName val="0"/>
            <c:showPercent val="1"/>
            <c:showBubbleSize val="0"/>
            <c:showLeaderLines val="1"/>
          </c:dLbls>
          <c:cat>
            <c:strRef>
              <c:f>Feuil1!$A$6:$A$8</c:f>
              <c:strCache>
                <c:ptCount val="3"/>
                <c:pt idx="0">
                  <c:v> Adm. centrale</c:v>
                </c:pt>
                <c:pt idx="1">
                  <c:v> Adm. locales</c:v>
                </c:pt>
                <c:pt idx="2">
                  <c:v> Adm. de Sécurité sociale</c:v>
                </c:pt>
              </c:strCache>
            </c:strRef>
          </c:cat>
          <c:val>
            <c:numRef>
              <c:f>Feuil1!$B$6:$B$8</c:f>
              <c:numCache>
                <c:formatCode>#,##0.0</c:formatCode>
                <c:ptCount val="3"/>
                <c:pt idx="0">
                  <c:v>-90.2</c:v>
                </c:pt>
                <c:pt idx="1">
                  <c:v>-0.9</c:v>
                </c:pt>
                <c:pt idx="2">
                  <c:v>-12.5</c:v>
                </c:pt>
              </c:numCache>
            </c:numRef>
          </c:val>
        </c:ser>
        <c:dLbls>
          <c:showLegendKey val="0"/>
          <c:showVal val="0"/>
          <c:showCatName val="0"/>
          <c:showSerName val="0"/>
          <c:showPercent val="0"/>
          <c:showBubbleSize val="0"/>
          <c:showLeaderLines val="1"/>
        </c:dLbls>
        <c:firstSliceAng val="72"/>
        <c:holeSize val="70"/>
      </c:doughnutChart>
    </c:plotArea>
    <c:legend>
      <c:legendPos val="r"/>
      <c:layout>
        <c:manualLayout>
          <c:xMode val="edge"/>
          <c:yMode val="edge"/>
          <c:x val="0.54584654825123557"/>
          <c:y val="0.33730340794015462"/>
          <c:w val="0.40784046324106826"/>
          <c:h val="0.258497116994234"/>
        </c:manualLayout>
      </c:layout>
      <c:overlay val="0"/>
    </c:legend>
    <c:plotVisOnly val="1"/>
    <c:dispBlanksAs val="zero"/>
    <c:showDLblsOverMax val="0"/>
  </c:chart>
  <c:spPr>
    <a:noFill/>
    <a:ln>
      <a:noFill/>
    </a:ln>
  </c:spPr>
  <c:txPr>
    <a:bodyPr/>
    <a:lstStyle/>
    <a:p>
      <a:pPr>
        <a:defRPr sz="900">
          <a:solidFill>
            <a:schemeClr val="tx1">
              <a:lumMod val="85000"/>
              <a:lumOff val="15000"/>
            </a:schemeClr>
          </a:solidFill>
        </a:defRPr>
      </a:pPr>
      <a:endParaRPr lang="fr-FR"/>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522379380799467E-2"/>
          <c:y val="2.9499827271505012E-2"/>
          <c:w val="0.51476147955732332"/>
          <c:h val="0.95108311461067363"/>
        </c:manualLayout>
      </c:layout>
      <c:doughnutChart>
        <c:varyColors val="1"/>
        <c:ser>
          <c:idx val="0"/>
          <c:order val="0"/>
          <c:tx>
            <c:strRef>
              <c:f>Feuil1!$D$5</c:f>
              <c:strCache>
                <c:ptCount val="1"/>
                <c:pt idx="0">
                  <c:v>Dette T1 2012</c:v>
                </c:pt>
              </c:strCache>
            </c:strRef>
          </c:tx>
          <c:dPt>
            <c:idx val="0"/>
            <c:bubble3D val="0"/>
            <c:spPr>
              <a:solidFill>
                <a:srgbClr val="7A003C"/>
              </a:solidFill>
            </c:spPr>
          </c:dPt>
          <c:dPt>
            <c:idx val="1"/>
            <c:bubble3D val="0"/>
            <c:spPr>
              <a:solidFill>
                <a:srgbClr val="618DC3"/>
              </a:solidFill>
            </c:spPr>
          </c:dPt>
          <c:dPt>
            <c:idx val="2"/>
            <c:bubble3D val="0"/>
            <c:spPr>
              <a:solidFill>
                <a:schemeClr val="bg1">
                  <a:lumMod val="65000"/>
                </a:schemeClr>
              </a:solidFill>
            </c:spPr>
          </c:dPt>
          <c:dLbls>
            <c:txPr>
              <a:bodyPr/>
              <a:lstStyle/>
              <a:p>
                <a:pPr>
                  <a:defRPr b="1">
                    <a:solidFill>
                      <a:schemeClr val="bg1"/>
                    </a:solidFill>
                  </a:defRPr>
                </a:pPr>
                <a:endParaRPr lang="fr-FR"/>
              </a:p>
            </c:txPr>
            <c:showLegendKey val="0"/>
            <c:showVal val="0"/>
            <c:showCatName val="0"/>
            <c:showSerName val="0"/>
            <c:showPercent val="1"/>
            <c:showBubbleSize val="0"/>
            <c:showLeaderLines val="1"/>
          </c:dLbls>
          <c:cat>
            <c:strRef>
              <c:f>Feuil1!$A$6:$A$8</c:f>
              <c:strCache>
                <c:ptCount val="3"/>
                <c:pt idx="0">
                  <c:v> Adm. centrale</c:v>
                </c:pt>
                <c:pt idx="1">
                  <c:v> Adm. locales</c:v>
                </c:pt>
                <c:pt idx="2">
                  <c:v> Adm. de Sécurité sociale</c:v>
                </c:pt>
              </c:strCache>
            </c:strRef>
          </c:cat>
          <c:val>
            <c:numRef>
              <c:f>Feuil1!$D$6:$D$8</c:f>
              <c:numCache>
                <c:formatCode>#,##0.0</c:formatCode>
                <c:ptCount val="3"/>
                <c:pt idx="0">
                  <c:v>1391.9</c:v>
                </c:pt>
                <c:pt idx="1">
                  <c:v>160.9</c:v>
                </c:pt>
                <c:pt idx="2">
                  <c:v>236.6</c:v>
                </c:pt>
              </c:numCache>
            </c:numRef>
          </c:val>
        </c:ser>
        <c:dLbls>
          <c:showLegendKey val="0"/>
          <c:showVal val="0"/>
          <c:showCatName val="0"/>
          <c:showSerName val="0"/>
          <c:showPercent val="0"/>
          <c:showBubbleSize val="0"/>
          <c:showLeaderLines val="1"/>
        </c:dLbls>
        <c:firstSliceAng val="72"/>
        <c:holeSize val="70"/>
      </c:doughnutChart>
    </c:plotArea>
    <c:plotVisOnly val="1"/>
    <c:dispBlanksAs val="zero"/>
    <c:showDLblsOverMax val="0"/>
  </c:chart>
  <c:spPr>
    <a:noFill/>
    <a:ln>
      <a:noFill/>
    </a:ln>
  </c:spPr>
  <c:txPr>
    <a:bodyPr/>
    <a:lstStyle/>
    <a:p>
      <a:pPr>
        <a:defRPr>
          <a:solidFill>
            <a:schemeClr val="tx1">
              <a:lumMod val="85000"/>
              <a:lumOff val="15000"/>
            </a:schemeClr>
          </a:solidFill>
        </a:defRPr>
      </a:pPr>
      <a:endParaRPr lang="fr-FR"/>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6599518810148819E-2"/>
          <c:y val="3.0704501559946515E-2"/>
          <c:w val="0.89810739282589691"/>
          <c:h val="0.86304874745952953"/>
        </c:manualLayout>
      </c:layout>
      <c:barChart>
        <c:barDir val="col"/>
        <c:grouping val="clustered"/>
        <c:varyColors val="0"/>
        <c:ser>
          <c:idx val="4"/>
          <c:order val="1"/>
          <c:tx>
            <c:strRef>
              <c:f>SS!$C$8</c:f>
              <c:strCache>
                <c:ptCount val="1"/>
                <c:pt idx="0">
                  <c:v>  Branche maladie</c:v>
                </c:pt>
              </c:strCache>
            </c:strRef>
          </c:tx>
          <c:spPr>
            <a:solidFill>
              <a:sysClr val="window" lastClr="FFFFFF">
                <a:lumMod val="75000"/>
              </a:sysClr>
            </a:solidFill>
            <a:ln>
              <a:noFill/>
            </a:ln>
          </c:spPr>
          <c:invertIfNegative val="0"/>
          <c:dPt>
            <c:idx val="35"/>
            <c:invertIfNegative val="0"/>
            <c:bubble3D val="0"/>
            <c:spPr>
              <a:solidFill>
                <a:srgbClr val="7A003C"/>
              </a:solidFill>
              <a:ln>
                <a:noFill/>
              </a:ln>
            </c:spPr>
          </c:dPt>
          <c:dPt>
            <c:idx val="36"/>
            <c:invertIfNegative val="0"/>
            <c:bubble3D val="0"/>
            <c:spPr>
              <a:solidFill>
                <a:srgbClr val="7A003C"/>
              </a:solidFill>
              <a:ln>
                <a:noFill/>
              </a:ln>
            </c:spPr>
          </c:dPt>
          <c:cat>
            <c:strRef>
              <c:f>SS!$A$9:$A$45</c:f>
              <c:strCache>
                <c:ptCount val="37"/>
                <c:pt idx="0">
                  <c:v>77</c:v>
                </c:pt>
                <c:pt idx="1">
                  <c:v>78</c:v>
                </c:pt>
                <c:pt idx="2">
                  <c:v>79</c:v>
                </c:pt>
                <c:pt idx="3">
                  <c:v>80</c:v>
                </c:pt>
                <c:pt idx="4">
                  <c:v>81</c:v>
                </c:pt>
                <c:pt idx="5">
                  <c:v>82</c:v>
                </c:pt>
                <c:pt idx="6">
                  <c:v>83</c:v>
                </c:pt>
                <c:pt idx="7">
                  <c:v>84</c:v>
                </c:pt>
                <c:pt idx="8">
                  <c:v>85</c:v>
                </c:pt>
                <c:pt idx="9">
                  <c:v>86</c:v>
                </c:pt>
                <c:pt idx="10">
                  <c:v>87</c:v>
                </c:pt>
                <c:pt idx="11">
                  <c:v>88</c:v>
                </c:pt>
                <c:pt idx="12">
                  <c:v>89</c:v>
                </c:pt>
                <c:pt idx="13">
                  <c:v>90</c:v>
                </c:pt>
                <c:pt idx="14">
                  <c:v>91</c:v>
                </c:pt>
                <c:pt idx="15">
                  <c:v>92</c:v>
                </c:pt>
                <c:pt idx="16">
                  <c:v>93</c:v>
                </c:pt>
                <c:pt idx="17">
                  <c:v>94</c:v>
                </c:pt>
                <c:pt idx="18">
                  <c:v>95</c:v>
                </c:pt>
                <c:pt idx="19">
                  <c:v>96</c:v>
                </c:pt>
                <c:pt idx="20">
                  <c:v>97</c:v>
                </c:pt>
                <c:pt idx="21">
                  <c:v>98</c:v>
                </c:pt>
                <c:pt idx="22">
                  <c:v>99</c:v>
                </c:pt>
                <c:pt idx="23">
                  <c:v>00</c:v>
                </c:pt>
                <c:pt idx="24">
                  <c:v>01</c:v>
                </c:pt>
                <c:pt idx="25">
                  <c:v>02</c:v>
                </c:pt>
                <c:pt idx="26">
                  <c:v>03</c:v>
                </c:pt>
                <c:pt idx="27">
                  <c:v>04</c:v>
                </c:pt>
                <c:pt idx="28">
                  <c:v>05</c:v>
                </c:pt>
                <c:pt idx="29">
                  <c:v>06</c:v>
                </c:pt>
                <c:pt idx="30">
                  <c:v>07</c:v>
                </c:pt>
                <c:pt idx="31">
                  <c:v>08</c:v>
                </c:pt>
                <c:pt idx="32">
                  <c:v>09</c:v>
                </c:pt>
                <c:pt idx="33">
                  <c:v>10</c:v>
                </c:pt>
                <c:pt idx="34">
                  <c:v>11</c:v>
                </c:pt>
                <c:pt idx="35">
                  <c:v>12*</c:v>
                </c:pt>
                <c:pt idx="36">
                  <c:v>13*</c:v>
                </c:pt>
              </c:strCache>
            </c:strRef>
          </c:cat>
          <c:val>
            <c:numRef>
              <c:f>SS!$C$9:$C$45</c:f>
              <c:numCache>
                <c:formatCode>General</c:formatCode>
                <c:ptCount val="37"/>
                <c:pt idx="0">
                  <c:v>0.37700000000000017</c:v>
                </c:pt>
                <c:pt idx="1">
                  <c:v>-0.7090000000000003</c:v>
                </c:pt>
                <c:pt idx="2">
                  <c:v>-7.6999999999999999E-2</c:v>
                </c:pt>
                <c:pt idx="3">
                  <c:v>1.1818</c:v>
                </c:pt>
                <c:pt idx="4">
                  <c:v>-0.49240000000000017</c:v>
                </c:pt>
                <c:pt idx="5">
                  <c:v>0.91700000000000004</c:v>
                </c:pt>
                <c:pt idx="6">
                  <c:v>1.9213</c:v>
                </c:pt>
                <c:pt idx="7">
                  <c:v>0.94270000000000043</c:v>
                </c:pt>
                <c:pt idx="8">
                  <c:v>2.1105</c:v>
                </c:pt>
                <c:pt idx="9">
                  <c:v>-1.1507000000000001</c:v>
                </c:pt>
                <c:pt idx="10">
                  <c:v>0.70220000000000005</c:v>
                </c:pt>
                <c:pt idx="11">
                  <c:v>0.27910000000000001</c:v>
                </c:pt>
                <c:pt idx="12">
                  <c:v>-0.38570000000000021</c:v>
                </c:pt>
                <c:pt idx="13">
                  <c:v>-1.4175999999999989</c:v>
                </c:pt>
                <c:pt idx="14">
                  <c:v>-0.46480000000000016</c:v>
                </c:pt>
                <c:pt idx="15">
                  <c:v>-0.95680000000000032</c:v>
                </c:pt>
                <c:pt idx="16">
                  <c:v>-4.1689999999999969</c:v>
                </c:pt>
                <c:pt idx="17">
                  <c:v>-4.8024999999999975</c:v>
                </c:pt>
                <c:pt idx="18">
                  <c:v>-6.0524999999999975</c:v>
                </c:pt>
                <c:pt idx="19">
                  <c:v>-5.4722000000000026</c:v>
                </c:pt>
                <c:pt idx="20">
                  <c:v>-2.1976</c:v>
                </c:pt>
                <c:pt idx="21">
                  <c:v>-2.4279000000000002</c:v>
                </c:pt>
                <c:pt idx="22">
                  <c:v>-0.73100000000000032</c:v>
                </c:pt>
                <c:pt idx="23">
                  <c:v>-1.6342000000000001</c:v>
                </c:pt>
                <c:pt idx="24">
                  <c:v>-2.0682</c:v>
                </c:pt>
                <c:pt idx="25">
                  <c:v>-6.0979999999999972</c:v>
                </c:pt>
                <c:pt idx="26">
                  <c:v>-11.105</c:v>
                </c:pt>
                <c:pt idx="27">
                  <c:v>-11.641999999999999</c:v>
                </c:pt>
                <c:pt idx="28">
                  <c:v>-8.0080000000000009</c:v>
                </c:pt>
                <c:pt idx="29">
                  <c:v>-5.9359999999999999</c:v>
                </c:pt>
                <c:pt idx="30">
                  <c:v>-4.6289999999999969</c:v>
                </c:pt>
                <c:pt idx="31">
                  <c:v>-4.4480000000000004</c:v>
                </c:pt>
                <c:pt idx="32">
                  <c:v>-10.571</c:v>
                </c:pt>
                <c:pt idx="33">
                  <c:v>-11.604000000000001</c:v>
                </c:pt>
                <c:pt idx="34">
                  <c:v>-8.6</c:v>
                </c:pt>
                <c:pt idx="35">
                  <c:v>-5.5</c:v>
                </c:pt>
                <c:pt idx="36">
                  <c:v>-5.0999999999999996</c:v>
                </c:pt>
              </c:numCache>
            </c:numRef>
          </c:val>
        </c:ser>
        <c:dLbls>
          <c:showLegendKey val="0"/>
          <c:showVal val="0"/>
          <c:showCatName val="0"/>
          <c:showSerName val="0"/>
          <c:showPercent val="0"/>
          <c:showBubbleSize val="0"/>
        </c:dLbls>
        <c:gapWidth val="24"/>
        <c:axId val="85440384"/>
        <c:axId val="85441920"/>
      </c:barChart>
      <c:lineChart>
        <c:grouping val="standard"/>
        <c:varyColors val="0"/>
        <c:ser>
          <c:idx val="3"/>
          <c:order val="0"/>
          <c:tx>
            <c:strRef>
              <c:f>SS!$B$8</c:f>
              <c:strCache>
                <c:ptCount val="1"/>
                <c:pt idx="0">
                  <c:v>  Toutes branches</c:v>
                </c:pt>
              </c:strCache>
            </c:strRef>
          </c:tx>
          <c:spPr>
            <a:ln>
              <a:solidFill>
                <a:srgbClr val="7A003C"/>
              </a:solidFill>
            </a:ln>
          </c:spPr>
          <c:marker>
            <c:symbol val="none"/>
          </c:marker>
          <c:dPt>
            <c:idx val="12"/>
            <c:bubble3D val="0"/>
            <c:spPr>
              <a:ln>
                <a:solidFill>
                  <a:srgbClr val="7A003C"/>
                </a:solidFill>
                <a:prstDash val="solid"/>
              </a:ln>
            </c:spPr>
          </c:dPt>
          <c:dPt>
            <c:idx val="13"/>
            <c:bubble3D val="0"/>
            <c:spPr>
              <a:ln>
                <a:solidFill>
                  <a:srgbClr val="7A003C"/>
                </a:solidFill>
                <a:prstDash val="solid"/>
              </a:ln>
            </c:spPr>
          </c:dPt>
          <c:dPt>
            <c:idx val="14"/>
            <c:bubble3D val="0"/>
            <c:spPr>
              <a:ln>
                <a:solidFill>
                  <a:srgbClr val="7A003C"/>
                </a:solidFill>
                <a:prstDash val="solid"/>
              </a:ln>
            </c:spPr>
          </c:dPt>
          <c:dPt>
            <c:idx val="15"/>
            <c:bubble3D val="0"/>
            <c:spPr>
              <a:ln>
                <a:solidFill>
                  <a:srgbClr val="7A003C"/>
                </a:solidFill>
                <a:prstDash val="solid"/>
              </a:ln>
            </c:spPr>
          </c:dPt>
          <c:dPt>
            <c:idx val="36"/>
            <c:bubble3D val="0"/>
            <c:spPr>
              <a:ln>
                <a:solidFill>
                  <a:srgbClr val="7A003C"/>
                </a:solidFill>
                <a:prstDash val="sysDot"/>
              </a:ln>
            </c:spPr>
          </c:dPt>
          <c:dPt>
            <c:idx val="37"/>
            <c:bubble3D val="0"/>
            <c:spPr>
              <a:ln>
                <a:solidFill>
                  <a:sysClr val="windowText" lastClr="000000">
                    <a:lumMod val="75000"/>
                    <a:lumOff val="25000"/>
                  </a:sysClr>
                </a:solidFill>
                <a:prstDash val="sysDot"/>
              </a:ln>
            </c:spPr>
          </c:dPt>
          <c:dPt>
            <c:idx val="38"/>
            <c:bubble3D val="0"/>
            <c:spPr>
              <a:ln>
                <a:solidFill>
                  <a:sysClr val="windowText" lastClr="000000">
                    <a:lumMod val="75000"/>
                    <a:lumOff val="25000"/>
                  </a:sysClr>
                </a:solidFill>
                <a:prstDash val="sysDot"/>
              </a:ln>
            </c:spPr>
          </c:dPt>
          <c:cat>
            <c:strRef>
              <c:f>SS!$A$9:$A$45</c:f>
              <c:strCache>
                <c:ptCount val="37"/>
                <c:pt idx="0">
                  <c:v>77</c:v>
                </c:pt>
                <c:pt idx="1">
                  <c:v>78</c:v>
                </c:pt>
                <c:pt idx="2">
                  <c:v>79</c:v>
                </c:pt>
                <c:pt idx="3">
                  <c:v>80</c:v>
                </c:pt>
                <c:pt idx="4">
                  <c:v>81</c:v>
                </c:pt>
                <c:pt idx="5">
                  <c:v>82</c:v>
                </c:pt>
                <c:pt idx="6">
                  <c:v>83</c:v>
                </c:pt>
                <c:pt idx="7">
                  <c:v>84</c:v>
                </c:pt>
                <c:pt idx="8">
                  <c:v>85</c:v>
                </c:pt>
                <c:pt idx="9">
                  <c:v>86</c:v>
                </c:pt>
                <c:pt idx="10">
                  <c:v>87</c:v>
                </c:pt>
                <c:pt idx="11">
                  <c:v>88</c:v>
                </c:pt>
                <c:pt idx="12">
                  <c:v>89</c:v>
                </c:pt>
                <c:pt idx="13">
                  <c:v>90</c:v>
                </c:pt>
                <c:pt idx="14">
                  <c:v>91</c:v>
                </c:pt>
                <c:pt idx="15">
                  <c:v>92</c:v>
                </c:pt>
                <c:pt idx="16">
                  <c:v>93</c:v>
                </c:pt>
                <c:pt idx="17">
                  <c:v>94</c:v>
                </c:pt>
                <c:pt idx="18">
                  <c:v>95</c:v>
                </c:pt>
                <c:pt idx="19">
                  <c:v>96</c:v>
                </c:pt>
                <c:pt idx="20">
                  <c:v>97</c:v>
                </c:pt>
                <c:pt idx="21">
                  <c:v>98</c:v>
                </c:pt>
                <c:pt idx="22">
                  <c:v>99</c:v>
                </c:pt>
                <c:pt idx="23">
                  <c:v>00</c:v>
                </c:pt>
                <c:pt idx="24">
                  <c:v>01</c:v>
                </c:pt>
                <c:pt idx="25">
                  <c:v>02</c:v>
                </c:pt>
                <c:pt idx="26">
                  <c:v>03</c:v>
                </c:pt>
                <c:pt idx="27">
                  <c:v>04</c:v>
                </c:pt>
                <c:pt idx="28">
                  <c:v>05</c:v>
                </c:pt>
                <c:pt idx="29">
                  <c:v>06</c:v>
                </c:pt>
                <c:pt idx="30">
                  <c:v>07</c:v>
                </c:pt>
                <c:pt idx="31">
                  <c:v>08</c:v>
                </c:pt>
                <c:pt idx="32">
                  <c:v>09</c:v>
                </c:pt>
                <c:pt idx="33">
                  <c:v>10</c:v>
                </c:pt>
                <c:pt idx="34">
                  <c:v>11</c:v>
                </c:pt>
                <c:pt idx="35">
                  <c:v>12*</c:v>
                </c:pt>
                <c:pt idx="36">
                  <c:v>13*</c:v>
                </c:pt>
              </c:strCache>
            </c:strRef>
          </c:cat>
          <c:val>
            <c:numRef>
              <c:f>SS!$B$9:$B$45</c:f>
              <c:numCache>
                <c:formatCode>General</c:formatCode>
                <c:ptCount val="37"/>
                <c:pt idx="0">
                  <c:v>0.86760000000000048</c:v>
                </c:pt>
                <c:pt idx="1">
                  <c:v>-1.6465000000000001</c:v>
                </c:pt>
                <c:pt idx="2">
                  <c:v>-2.4199999999999989E-2</c:v>
                </c:pt>
                <c:pt idx="3">
                  <c:v>1.6265000000000001</c:v>
                </c:pt>
                <c:pt idx="4">
                  <c:v>-1.0091999999999994</c:v>
                </c:pt>
                <c:pt idx="5">
                  <c:v>-1.1676</c:v>
                </c:pt>
                <c:pt idx="6">
                  <c:v>1.7034999999999993</c:v>
                </c:pt>
                <c:pt idx="7">
                  <c:v>2.5371999999999999</c:v>
                </c:pt>
                <c:pt idx="8">
                  <c:v>2.0225</c:v>
                </c:pt>
                <c:pt idx="9">
                  <c:v>-3.0547999999999997</c:v>
                </c:pt>
                <c:pt idx="10">
                  <c:v>-0.21770000000000006</c:v>
                </c:pt>
                <c:pt idx="11">
                  <c:v>-1.1111</c:v>
                </c:pt>
                <c:pt idx="12">
                  <c:v>-6.0200000000000004E-2</c:v>
                </c:pt>
                <c:pt idx="13">
                  <c:v>-1.4683999999999995</c:v>
                </c:pt>
                <c:pt idx="14">
                  <c:v>-2.5356999999999985</c:v>
                </c:pt>
                <c:pt idx="15">
                  <c:v>-2.3325999999999985</c:v>
                </c:pt>
                <c:pt idx="16">
                  <c:v>-8.5992000000000015</c:v>
                </c:pt>
                <c:pt idx="17">
                  <c:v>-8.3600000000000048</c:v>
                </c:pt>
                <c:pt idx="18">
                  <c:v>-10.267000000000001</c:v>
                </c:pt>
                <c:pt idx="19">
                  <c:v>-8.1171999999999986</c:v>
                </c:pt>
                <c:pt idx="20">
                  <c:v>-5.1598999999999995</c:v>
                </c:pt>
                <c:pt idx="21">
                  <c:v>-2.4670999999999998</c:v>
                </c:pt>
                <c:pt idx="22">
                  <c:v>0.48600000000000021</c:v>
                </c:pt>
                <c:pt idx="23">
                  <c:v>0.69000000000000028</c:v>
                </c:pt>
                <c:pt idx="24">
                  <c:v>1.1539999999999992</c:v>
                </c:pt>
                <c:pt idx="25">
                  <c:v>-3.4549999999999987</c:v>
                </c:pt>
                <c:pt idx="26">
                  <c:v>-10.209</c:v>
                </c:pt>
                <c:pt idx="27">
                  <c:v>-11.929</c:v>
                </c:pt>
                <c:pt idx="28">
                  <c:v>-11.637999999999998</c:v>
                </c:pt>
                <c:pt idx="29">
                  <c:v>-8.7409999999999997</c:v>
                </c:pt>
                <c:pt idx="30">
                  <c:v>-9.5</c:v>
                </c:pt>
                <c:pt idx="31">
                  <c:v>-10.186</c:v>
                </c:pt>
                <c:pt idx="32">
                  <c:v>-20.347999999999999</c:v>
                </c:pt>
                <c:pt idx="33">
                  <c:v>-23.95</c:v>
                </c:pt>
                <c:pt idx="34">
                  <c:v>-17.399999999999999</c:v>
                </c:pt>
                <c:pt idx="35">
                  <c:v>-13.3</c:v>
                </c:pt>
                <c:pt idx="36">
                  <c:v>-11.4</c:v>
                </c:pt>
              </c:numCache>
            </c:numRef>
          </c:val>
          <c:smooth val="0"/>
        </c:ser>
        <c:dLbls>
          <c:showLegendKey val="0"/>
          <c:showVal val="0"/>
          <c:showCatName val="0"/>
          <c:showSerName val="0"/>
          <c:showPercent val="0"/>
          <c:showBubbleSize val="0"/>
        </c:dLbls>
        <c:marker val="1"/>
        <c:smooth val="0"/>
        <c:axId val="85440384"/>
        <c:axId val="85441920"/>
      </c:lineChart>
      <c:catAx>
        <c:axId val="85440384"/>
        <c:scaling>
          <c:orientation val="minMax"/>
        </c:scaling>
        <c:delete val="0"/>
        <c:axPos val="b"/>
        <c:numFmt formatCode="@" sourceLinked="0"/>
        <c:majorTickMark val="none"/>
        <c:minorTickMark val="none"/>
        <c:tickLblPos val="low"/>
        <c:spPr>
          <a:ln>
            <a:solidFill>
              <a:sysClr val="windowText" lastClr="000000">
                <a:lumMod val="85000"/>
                <a:lumOff val="15000"/>
              </a:sysClr>
            </a:solidFill>
          </a:ln>
        </c:spPr>
        <c:crossAx val="85441920"/>
        <c:crosses val="autoZero"/>
        <c:auto val="1"/>
        <c:lblAlgn val="ctr"/>
        <c:lblOffset val="100"/>
        <c:tickLblSkip val="5"/>
        <c:tickMarkSkip val="5"/>
        <c:noMultiLvlLbl val="0"/>
      </c:catAx>
      <c:valAx>
        <c:axId val="85441920"/>
        <c:scaling>
          <c:orientation val="minMax"/>
          <c:min val="-25"/>
        </c:scaling>
        <c:delete val="0"/>
        <c:axPos val="l"/>
        <c:majorGridlines>
          <c:spPr>
            <a:ln>
              <a:solidFill>
                <a:sysClr val="window" lastClr="FFFFFF">
                  <a:lumMod val="85000"/>
                </a:sysClr>
              </a:solidFill>
            </a:ln>
          </c:spPr>
        </c:majorGridlines>
        <c:numFmt formatCode="#,##0" sourceLinked="0"/>
        <c:majorTickMark val="out"/>
        <c:minorTickMark val="none"/>
        <c:tickLblPos val="nextTo"/>
        <c:spPr>
          <a:ln>
            <a:noFill/>
          </a:ln>
        </c:spPr>
        <c:crossAx val="85440384"/>
        <c:crosses val="autoZero"/>
        <c:crossBetween val="between"/>
      </c:valAx>
      <c:spPr>
        <a:solidFill>
          <a:sysClr val="window" lastClr="FFFFFF"/>
        </a:solidFill>
        <a:ln>
          <a:solidFill>
            <a:sysClr val="window" lastClr="FFFFFF">
              <a:lumMod val="85000"/>
            </a:sysClr>
          </a:solidFill>
        </a:ln>
      </c:spPr>
    </c:plotArea>
    <c:legend>
      <c:legendPos val="r"/>
      <c:layout>
        <c:manualLayout>
          <c:xMode val="edge"/>
          <c:yMode val="edge"/>
          <c:x val="8.7687728937728929E-2"/>
          <c:y val="0.61151729354749662"/>
          <c:w val="0.3900485347985348"/>
          <c:h val="0.2687505651759739"/>
        </c:manualLayout>
      </c:layout>
      <c:overlay val="0"/>
    </c:legend>
    <c:plotVisOnly val="1"/>
    <c:dispBlanksAs val="gap"/>
    <c:showDLblsOverMax val="0"/>
  </c:chart>
  <c:spPr>
    <a:ln>
      <a:noFill/>
    </a:ln>
  </c:spPr>
  <c:txPr>
    <a:bodyPr/>
    <a:lstStyle/>
    <a:p>
      <a:pPr>
        <a:defRPr sz="900" b="0">
          <a:solidFill>
            <a:schemeClr val="tx1">
              <a:lumMod val="85000"/>
              <a:lumOff val="15000"/>
            </a:schemeClr>
          </a:solidFill>
        </a:defRPr>
      </a:pPr>
      <a:endParaRPr lang="fr-FR"/>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099518810149013E-2"/>
          <c:y val="4.6852273760542969E-2"/>
          <c:w val="0.86793444685515464"/>
          <c:h val="0.8323284413700226"/>
        </c:manualLayout>
      </c:layout>
      <c:lineChart>
        <c:grouping val="standard"/>
        <c:varyColors val="0"/>
        <c:ser>
          <c:idx val="0"/>
          <c:order val="0"/>
          <c:tx>
            <c:strRef>
              <c:f>'Public exp., % total health exp'!$A$50</c:f>
              <c:strCache>
                <c:ptCount val="1"/>
                <c:pt idx="0">
                  <c:v>France</c:v>
                </c:pt>
              </c:strCache>
            </c:strRef>
          </c:tx>
          <c:spPr>
            <a:ln>
              <a:solidFill>
                <a:srgbClr val="7A003C"/>
              </a:solidFill>
            </a:ln>
          </c:spPr>
          <c:marker>
            <c:symbol val="none"/>
          </c:marker>
          <c:dPt>
            <c:idx val="50"/>
            <c:marker>
              <c:symbol val="circle"/>
              <c:size val="5"/>
              <c:spPr>
                <a:solidFill>
                  <a:schemeClr val="accent2">
                    <a:lumMod val="60000"/>
                    <a:lumOff val="40000"/>
                  </a:schemeClr>
                </a:solidFill>
                <a:ln>
                  <a:solidFill>
                    <a:srgbClr val="7A003C"/>
                  </a:solidFill>
                </a:ln>
              </c:spPr>
            </c:marker>
            <c:bubble3D val="0"/>
          </c:dPt>
          <c:dLbls>
            <c:dLbl>
              <c:idx val="38"/>
              <c:layout>
                <c:manualLayout>
                  <c:x val="-0.36911749266635796"/>
                  <c:y val="6.2761802351798554E-2"/>
                </c:manualLayout>
              </c:layout>
              <c:tx>
                <c:rich>
                  <a:bodyPr/>
                  <a:lstStyle/>
                  <a:p>
                    <a:r>
                      <a:rPr lang="en-US" b="1">
                        <a:solidFill>
                          <a:srgbClr val="7A003C"/>
                        </a:solidFill>
                      </a:rPr>
                      <a:t>F</a:t>
                    </a:r>
                    <a:r>
                      <a:rPr lang="en-US"/>
                      <a:t>rance</a:t>
                    </a:r>
                  </a:p>
                </c:rich>
              </c:tx>
              <c:showLegendKey val="0"/>
              <c:showVal val="1"/>
              <c:showCatName val="0"/>
              <c:showSerName val="0"/>
              <c:showPercent val="0"/>
              <c:showBubbleSize val="0"/>
            </c:dLbl>
            <c:dLbl>
              <c:idx val="50"/>
              <c:layout>
                <c:manualLayout>
                  <c:x val="-2.0055581287633192E-3"/>
                  <c:y val="-7.7002092800074584E-2"/>
                </c:manualLayout>
              </c:layout>
              <c:tx>
                <c:rich>
                  <a:bodyPr/>
                  <a:lstStyle/>
                  <a:p>
                    <a:r>
                      <a:rPr lang="en-US" b="1">
                        <a:solidFill>
                          <a:srgbClr val="7A003C"/>
                        </a:solidFill>
                      </a:rPr>
                      <a:t>77,0</a:t>
                    </a:r>
                    <a:r>
                      <a:rPr lang="en-US"/>
                      <a:t>%</a:t>
                    </a:r>
                  </a:p>
                </c:rich>
              </c:tx>
              <c:showLegendKey val="0"/>
              <c:showVal val="1"/>
              <c:showCatName val="0"/>
              <c:showSerName val="0"/>
              <c:showPercent val="0"/>
              <c:showBubbleSize val="0"/>
            </c:dLbl>
            <c:txPr>
              <a:bodyPr/>
              <a:lstStyle/>
              <a:p>
                <a:pPr>
                  <a:defRPr b="1">
                    <a:solidFill>
                      <a:srgbClr val="7A003C"/>
                    </a:solidFill>
                  </a:defRPr>
                </a:pPr>
                <a:endParaRPr lang="fr-FR"/>
              </a:p>
            </c:txPr>
            <c:showLegendKey val="0"/>
            <c:showVal val="0"/>
            <c:showCatName val="0"/>
            <c:showSerName val="0"/>
            <c:showPercent val="0"/>
            <c:showBubbleSize val="0"/>
          </c:dLbls>
          <c:cat>
            <c:strRef>
              <c:f>'Public exp., % total health exp'!$B$49:$AZ$49</c:f>
              <c:strCache>
                <c:ptCount val="51"/>
                <c:pt idx="0">
                  <c:v>60</c:v>
                </c:pt>
                <c:pt idx="1">
                  <c:v>61</c:v>
                </c:pt>
                <c:pt idx="2">
                  <c:v>62</c:v>
                </c:pt>
                <c:pt idx="3">
                  <c:v>63</c:v>
                </c:pt>
                <c:pt idx="4">
                  <c:v>64</c:v>
                </c:pt>
                <c:pt idx="5">
                  <c:v>65</c:v>
                </c:pt>
                <c:pt idx="6">
                  <c:v>66</c:v>
                </c:pt>
                <c:pt idx="7">
                  <c:v>67</c:v>
                </c:pt>
                <c:pt idx="8">
                  <c:v>68</c:v>
                </c:pt>
                <c:pt idx="9">
                  <c:v>69</c:v>
                </c:pt>
                <c:pt idx="10">
                  <c:v>70</c:v>
                </c:pt>
                <c:pt idx="11">
                  <c:v>71</c:v>
                </c:pt>
                <c:pt idx="12">
                  <c:v>72</c:v>
                </c:pt>
                <c:pt idx="13">
                  <c:v>73</c:v>
                </c:pt>
                <c:pt idx="14">
                  <c:v>74</c:v>
                </c:pt>
                <c:pt idx="15">
                  <c:v>75</c:v>
                </c:pt>
                <c:pt idx="16">
                  <c:v>76</c:v>
                </c:pt>
                <c:pt idx="17">
                  <c:v>77</c:v>
                </c:pt>
                <c:pt idx="18">
                  <c:v>78</c:v>
                </c:pt>
                <c:pt idx="19">
                  <c:v>79</c:v>
                </c:pt>
                <c:pt idx="20">
                  <c:v>80</c:v>
                </c:pt>
                <c:pt idx="21">
                  <c:v>81</c:v>
                </c:pt>
                <c:pt idx="22">
                  <c:v>82</c:v>
                </c:pt>
                <c:pt idx="23">
                  <c:v>83</c:v>
                </c:pt>
                <c:pt idx="24">
                  <c:v>84</c:v>
                </c:pt>
                <c:pt idx="25">
                  <c:v>85</c:v>
                </c:pt>
                <c:pt idx="26">
                  <c:v>86</c:v>
                </c:pt>
                <c:pt idx="27">
                  <c:v>87</c:v>
                </c:pt>
                <c:pt idx="28">
                  <c:v>88</c:v>
                </c:pt>
                <c:pt idx="29">
                  <c:v>89</c:v>
                </c:pt>
                <c:pt idx="30">
                  <c:v>90</c:v>
                </c:pt>
                <c:pt idx="31">
                  <c:v>91</c:v>
                </c:pt>
                <c:pt idx="32">
                  <c:v>92</c:v>
                </c:pt>
                <c:pt idx="33">
                  <c:v>93</c:v>
                </c:pt>
                <c:pt idx="34">
                  <c:v>94</c:v>
                </c:pt>
                <c:pt idx="35">
                  <c:v>95</c:v>
                </c:pt>
                <c:pt idx="36">
                  <c:v>96</c:v>
                </c:pt>
                <c:pt idx="37">
                  <c:v>97</c:v>
                </c:pt>
                <c:pt idx="38">
                  <c:v>98</c:v>
                </c:pt>
                <c:pt idx="39">
                  <c:v>99</c:v>
                </c:pt>
                <c:pt idx="40">
                  <c:v>00</c:v>
                </c:pt>
                <c:pt idx="41">
                  <c:v>01</c:v>
                </c:pt>
                <c:pt idx="42">
                  <c:v>02</c:v>
                </c:pt>
                <c:pt idx="43">
                  <c:v>03</c:v>
                </c:pt>
                <c:pt idx="44">
                  <c:v>04</c:v>
                </c:pt>
                <c:pt idx="45">
                  <c:v>05</c:v>
                </c:pt>
                <c:pt idx="46">
                  <c:v>06</c:v>
                </c:pt>
                <c:pt idx="47">
                  <c:v>07</c:v>
                </c:pt>
                <c:pt idx="48">
                  <c:v>08</c:v>
                </c:pt>
                <c:pt idx="49">
                  <c:v>09</c:v>
                </c:pt>
                <c:pt idx="50">
                  <c:v>10</c:v>
                </c:pt>
              </c:strCache>
            </c:strRef>
          </c:cat>
          <c:val>
            <c:numRef>
              <c:f>'Public exp., % total health exp'!$B$50:$AZ$50</c:f>
              <c:numCache>
                <c:formatCode>0.0</c:formatCode>
                <c:ptCount val="51"/>
                <c:pt idx="0">
                  <c:v>62.4</c:v>
                </c:pt>
                <c:pt idx="1">
                  <c:v>64.068369332442558</c:v>
                </c:pt>
                <c:pt idx="2">
                  <c:v>65.781345335232672</c:v>
                </c:pt>
                <c:pt idx="3">
                  <c:v>67.540120642993827</c:v>
                </c:pt>
                <c:pt idx="4">
                  <c:v>69.345919777453958</c:v>
                </c:pt>
                <c:pt idx="5">
                  <c:v>71.2</c:v>
                </c:pt>
                <c:pt idx="6">
                  <c:v>72.039947099432609</c:v>
                </c:pt>
                <c:pt idx="7">
                  <c:v>72.889803063048433</c:v>
                </c:pt>
                <c:pt idx="8">
                  <c:v>73.749684785818971</c:v>
                </c:pt>
                <c:pt idx="9">
                  <c:v>74.61971054171326</c:v>
                </c:pt>
                <c:pt idx="10">
                  <c:v>75.5</c:v>
                </c:pt>
                <c:pt idx="11">
                  <c:v>75.993506081679797</c:v>
                </c:pt>
                <c:pt idx="12">
                  <c:v>76.490237968030527</c:v>
                </c:pt>
                <c:pt idx="13">
                  <c:v>76.990216744538827</c:v>
                </c:pt>
                <c:pt idx="14">
                  <c:v>77.493463634517809</c:v>
                </c:pt>
                <c:pt idx="15">
                  <c:v>78</c:v>
                </c:pt>
                <c:pt idx="16">
                  <c:v>78.415548638751588</c:v>
                </c:pt>
                <c:pt idx="17">
                  <c:v>78.833311132258757</c:v>
                </c:pt>
                <c:pt idx="18">
                  <c:v>79.253299274946627</c:v>
                </c:pt>
                <c:pt idx="19">
                  <c:v>79.675524924051118</c:v>
                </c:pt>
                <c:pt idx="20">
                  <c:v>80.099999999999994</c:v>
                </c:pt>
                <c:pt idx="21">
                  <c:v>79.777412117577214</c:v>
                </c:pt>
                <c:pt idx="22">
                  <c:v>79.456123397979397</c:v>
                </c:pt>
                <c:pt idx="23">
                  <c:v>79.136128609062027</c:v>
                </c:pt>
                <c:pt idx="24">
                  <c:v>78.817422539761878</c:v>
                </c:pt>
                <c:pt idx="25">
                  <c:v>78.5</c:v>
                </c:pt>
                <c:pt idx="26">
                  <c:v>78.116266669689423</c:v>
                </c:pt>
                <c:pt idx="27">
                  <c:v>77.734409151720115</c:v>
                </c:pt>
                <c:pt idx="28">
                  <c:v>77.354418276515958</c:v>
                </c:pt>
                <c:pt idx="29">
                  <c:v>76.976284919325195</c:v>
                </c:pt>
                <c:pt idx="30">
                  <c:v>76.599999999999994</c:v>
                </c:pt>
                <c:pt idx="31">
                  <c:v>76.3</c:v>
                </c:pt>
                <c:pt idx="32">
                  <c:v>76.599999999999994</c:v>
                </c:pt>
                <c:pt idx="33">
                  <c:v>76.5</c:v>
                </c:pt>
                <c:pt idx="34">
                  <c:v>76</c:v>
                </c:pt>
                <c:pt idx="35">
                  <c:v>79.7</c:v>
                </c:pt>
                <c:pt idx="36">
                  <c:v>79.599999999999994</c:v>
                </c:pt>
                <c:pt idx="37">
                  <c:v>79.599999999999994</c:v>
                </c:pt>
                <c:pt idx="38">
                  <c:v>79.5</c:v>
                </c:pt>
                <c:pt idx="39">
                  <c:v>79.400000000000006</c:v>
                </c:pt>
                <c:pt idx="40">
                  <c:v>79.400000000000006</c:v>
                </c:pt>
                <c:pt idx="41">
                  <c:v>79.400000000000006</c:v>
                </c:pt>
                <c:pt idx="42">
                  <c:v>79.7</c:v>
                </c:pt>
                <c:pt idx="43">
                  <c:v>78.900000000000006</c:v>
                </c:pt>
                <c:pt idx="44">
                  <c:v>78.8</c:v>
                </c:pt>
                <c:pt idx="45">
                  <c:v>78.8</c:v>
                </c:pt>
                <c:pt idx="46">
                  <c:v>78.7</c:v>
                </c:pt>
                <c:pt idx="47">
                  <c:v>78.3</c:v>
                </c:pt>
                <c:pt idx="48">
                  <c:v>76.7</c:v>
                </c:pt>
                <c:pt idx="49">
                  <c:v>76.900000000000006</c:v>
                </c:pt>
                <c:pt idx="50">
                  <c:v>77</c:v>
                </c:pt>
              </c:numCache>
            </c:numRef>
          </c:val>
          <c:smooth val="0"/>
        </c:ser>
        <c:ser>
          <c:idx val="1"/>
          <c:order val="1"/>
          <c:tx>
            <c:strRef>
              <c:f>'Public exp., % total health exp'!$A$51</c:f>
              <c:strCache>
                <c:ptCount val="1"/>
                <c:pt idx="0">
                  <c:v>Etats-Unis</c:v>
                </c:pt>
              </c:strCache>
            </c:strRef>
          </c:tx>
          <c:spPr>
            <a:ln>
              <a:solidFill>
                <a:schemeClr val="bg1">
                  <a:lumMod val="65000"/>
                </a:schemeClr>
              </a:solidFill>
            </a:ln>
          </c:spPr>
          <c:marker>
            <c:symbol val="none"/>
          </c:marker>
          <c:dPt>
            <c:idx val="50"/>
            <c:marker>
              <c:symbol val="circle"/>
              <c:size val="5"/>
              <c:spPr>
                <a:solidFill>
                  <a:schemeClr val="bg1">
                    <a:lumMod val="75000"/>
                  </a:schemeClr>
                </a:solidFill>
                <a:ln>
                  <a:solidFill>
                    <a:schemeClr val="tx1">
                      <a:lumMod val="85000"/>
                      <a:lumOff val="15000"/>
                    </a:schemeClr>
                  </a:solidFill>
                </a:ln>
              </c:spPr>
            </c:marker>
            <c:bubble3D val="0"/>
          </c:dPt>
          <c:dLbls>
            <c:dLbl>
              <c:idx val="35"/>
              <c:layout>
                <c:manualLayout>
                  <c:x val="-8.3333333333333343E-2"/>
                  <c:y val="-5.1014502068150475E-2"/>
                </c:manualLayout>
              </c:layout>
              <c:tx>
                <c:rich>
                  <a:bodyPr/>
                  <a:lstStyle/>
                  <a:p>
                    <a:r>
                      <a:rPr lang="en-US" b="1"/>
                      <a:t>E</a:t>
                    </a:r>
                    <a:r>
                      <a:rPr lang="en-US"/>
                      <a:t>tats-Unis</a:t>
                    </a:r>
                  </a:p>
                </c:rich>
              </c:tx>
              <c:showLegendKey val="0"/>
              <c:showVal val="1"/>
              <c:showCatName val="0"/>
              <c:showSerName val="0"/>
              <c:showPercent val="0"/>
              <c:showBubbleSize val="0"/>
            </c:dLbl>
            <c:dLbl>
              <c:idx val="50"/>
              <c:layout>
                <c:manualLayout>
                  <c:x val="-2.9785394472750053E-3"/>
                  <c:y val="-8.2924832633806747E-2"/>
                </c:manualLayout>
              </c:layout>
              <c:tx>
                <c:rich>
                  <a:bodyPr/>
                  <a:lstStyle/>
                  <a:p>
                    <a:r>
                      <a:rPr lang="en-US" b="1"/>
                      <a:t>48,2</a:t>
                    </a:r>
                    <a:r>
                      <a:rPr lang="en-US"/>
                      <a:t>%</a:t>
                    </a:r>
                  </a:p>
                </c:rich>
              </c:tx>
              <c:showLegendKey val="0"/>
              <c:showVal val="1"/>
              <c:showCatName val="0"/>
              <c:showSerName val="0"/>
              <c:showPercent val="0"/>
              <c:showBubbleSize val="0"/>
            </c:dLbl>
            <c:txPr>
              <a:bodyPr/>
              <a:lstStyle/>
              <a:p>
                <a:pPr>
                  <a:defRPr b="1"/>
                </a:pPr>
                <a:endParaRPr lang="fr-FR"/>
              </a:p>
            </c:txPr>
            <c:showLegendKey val="0"/>
            <c:showVal val="0"/>
            <c:showCatName val="0"/>
            <c:showSerName val="0"/>
            <c:showPercent val="0"/>
            <c:showBubbleSize val="0"/>
          </c:dLbls>
          <c:cat>
            <c:strRef>
              <c:f>'Public exp., % total health exp'!$B$49:$AZ$49</c:f>
              <c:strCache>
                <c:ptCount val="51"/>
                <c:pt idx="0">
                  <c:v>60</c:v>
                </c:pt>
                <c:pt idx="1">
                  <c:v>61</c:v>
                </c:pt>
                <c:pt idx="2">
                  <c:v>62</c:v>
                </c:pt>
                <c:pt idx="3">
                  <c:v>63</c:v>
                </c:pt>
                <c:pt idx="4">
                  <c:v>64</c:v>
                </c:pt>
                <c:pt idx="5">
                  <c:v>65</c:v>
                </c:pt>
                <c:pt idx="6">
                  <c:v>66</c:v>
                </c:pt>
                <c:pt idx="7">
                  <c:v>67</c:v>
                </c:pt>
                <c:pt idx="8">
                  <c:v>68</c:v>
                </c:pt>
                <c:pt idx="9">
                  <c:v>69</c:v>
                </c:pt>
                <c:pt idx="10">
                  <c:v>70</c:v>
                </c:pt>
                <c:pt idx="11">
                  <c:v>71</c:v>
                </c:pt>
                <c:pt idx="12">
                  <c:v>72</c:v>
                </c:pt>
                <c:pt idx="13">
                  <c:v>73</c:v>
                </c:pt>
                <c:pt idx="14">
                  <c:v>74</c:v>
                </c:pt>
                <c:pt idx="15">
                  <c:v>75</c:v>
                </c:pt>
                <c:pt idx="16">
                  <c:v>76</c:v>
                </c:pt>
                <c:pt idx="17">
                  <c:v>77</c:v>
                </c:pt>
                <c:pt idx="18">
                  <c:v>78</c:v>
                </c:pt>
                <c:pt idx="19">
                  <c:v>79</c:v>
                </c:pt>
                <c:pt idx="20">
                  <c:v>80</c:v>
                </c:pt>
                <c:pt idx="21">
                  <c:v>81</c:v>
                </c:pt>
                <c:pt idx="22">
                  <c:v>82</c:v>
                </c:pt>
                <c:pt idx="23">
                  <c:v>83</c:v>
                </c:pt>
                <c:pt idx="24">
                  <c:v>84</c:v>
                </c:pt>
                <c:pt idx="25">
                  <c:v>85</c:v>
                </c:pt>
                <c:pt idx="26">
                  <c:v>86</c:v>
                </c:pt>
                <c:pt idx="27">
                  <c:v>87</c:v>
                </c:pt>
                <c:pt idx="28">
                  <c:v>88</c:v>
                </c:pt>
                <c:pt idx="29">
                  <c:v>89</c:v>
                </c:pt>
                <c:pt idx="30">
                  <c:v>90</c:v>
                </c:pt>
                <c:pt idx="31">
                  <c:v>91</c:v>
                </c:pt>
                <c:pt idx="32">
                  <c:v>92</c:v>
                </c:pt>
                <c:pt idx="33">
                  <c:v>93</c:v>
                </c:pt>
                <c:pt idx="34">
                  <c:v>94</c:v>
                </c:pt>
                <c:pt idx="35">
                  <c:v>95</c:v>
                </c:pt>
                <c:pt idx="36">
                  <c:v>96</c:v>
                </c:pt>
                <c:pt idx="37">
                  <c:v>97</c:v>
                </c:pt>
                <c:pt idx="38">
                  <c:v>98</c:v>
                </c:pt>
                <c:pt idx="39">
                  <c:v>99</c:v>
                </c:pt>
                <c:pt idx="40">
                  <c:v>00</c:v>
                </c:pt>
                <c:pt idx="41">
                  <c:v>01</c:v>
                </c:pt>
                <c:pt idx="42">
                  <c:v>02</c:v>
                </c:pt>
                <c:pt idx="43">
                  <c:v>03</c:v>
                </c:pt>
                <c:pt idx="44">
                  <c:v>04</c:v>
                </c:pt>
                <c:pt idx="45">
                  <c:v>05</c:v>
                </c:pt>
                <c:pt idx="46">
                  <c:v>06</c:v>
                </c:pt>
                <c:pt idx="47">
                  <c:v>07</c:v>
                </c:pt>
                <c:pt idx="48">
                  <c:v>08</c:v>
                </c:pt>
                <c:pt idx="49">
                  <c:v>09</c:v>
                </c:pt>
                <c:pt idx="50">
                  <c:v>10</c:v>
                </c:pt>
              </c:strCache>
            </c:strRef>
          </c:cat>
          <c:val>
            <c:numRef>
              <c:f>'Public exp., % total health exp'!$B$51:$AZ$51</c:f>
              <c:numCache>
                <c:formatCode>0.0</c:formatCode>
                <c:ptCount val="51"/>
                <c:pt idx="0">
                  <c:v>22.9</c:v>
                </c:pt>
                <c:pt idx="1">
                  <c:v>23.3</c:v>
                </c:pt>
                <c:pt idx="2">
                  <c:v>23</c:v>
                </c:pt>
                <c:pt idx="3">
                  <c:v>23.2</c:v>
                </c:pt>
                <c:pt idx="4">
                  <c:v>22.2</c:v>
                </c:pt>
                <c:pt idx="5">
                  <c:v>22.1</c:v>
                </c:pt>
                <c:pt idx="6">
                  <c:v>27.6</c:v>
                </c:pt>
                <c:pt idx="7">
                  <c:v>35.1</c:v>
                </c:pt>
                <c:pt idx="8">
                  <c:v>35.800000000000004</c:v>
                </c:pt>
                <c:pt idx="9">
                  <c:v>35.9</c:v>
                </c:pt>
                <c:pt idx="10">
                  <c:v>36.1</c:v>
                </c:pt>
                <c:pt idx="11">
                  <c:v>37</c:v>
                </c:pt>
                <c:pt idx="12">
                  <c:v>37</c:v>
                </c:pt>
                <c:pt idx="13">
                  <c:v>37.800000000000004</c:v>
                </c:pt>
                <c:pt idx="14">
                  <c:v>39.4</c:v>
                </c:pt>
                <c:pt idx="15">
                  <c:v>40.6</c:v>
                </c:pt>
                <c:pt idx="16">
                  <c:v>40.200000000000003</c:v>
                </c:pt>
                <c:pt idx="17">
                  <c:v>39.700000000000003</c:v>
                </c:pt>
                <c:pt idx="18">
                  <c:v>40.200000000000003</c:v>
                </c:pt>
                <c:pt idx="19">
                  <c:v>40.4</c:v>
                </c:pt>
                <c:pt idx="20">
                  <c:v>41</c:v>
                </c:pt>
                <c:pt idx="21">
                  <c:v>40.9</c:v>
                </c:pt>
                <c:pt idx="22">
                  <c:v>40.200000000000003</c:v>
                </c:pt>
                <c:pt idx="23">
                  <c:v>40.200000000000003</c:v>
                </c:pt>
                <c:pt idx="24">
                  <c:v>39.800000000000004</c:v>
                </c:pt>
                <c:pt idx="25">
                  <c:v>39.6</c:v>
                </c:pt>
                <c:pt idx="26">
                  <c:v>40.4</c:v>
                </c:pt>
                <c:pt idx="27">
                  <c:v>40.6</c:v>
                </c:pt>
                <c:pt idx="28">
                  <c:v>39.200000000000003</c:v>
                </c:pt>
                <c:pt idx="29">
                  <c:v>39.300000000000004</c:v>
                </c:pt>
                <c:pt idx="30">
                  <c:v>39.4</c:v>
                </c:pt>
                <c:pt idx="31">
                  <c:v>40.9</c:v>
                </c:pt>
                <c:pt idx="32">
                  <c:v>42.2</c:v>
                </c:pt>
                <c:pt idx="33">
                  <c:v>43.2</c:v>
                </c:pt>
                <c:pt idx="34">
                  <c:v>44.6</c:v>
                </c:pt>
                <c:pt idx="35">
                  <c:v>45.1</c:v>
                </c:pt>
                <c:pt idx="36">
                  <c:v>45</c:v>
                </c:pt>
                <c:pt idx="37">
                  <c:v>44.8</c:v>
                </c:pt>
                <c:pt idx="38">
                  <c:v>43.5</c:v>
                </c:pt>
                <c:pt idx="39">
                  <c:v>43</c:v>
                </c:pt>
                <c:pt idx="40">
                  <c:v>43</c:v>
                </c:pt>
                <c:pt idx="41">
                  <c:v>44</c:v>
                </c:pt>
                <c:pt idx="42">
                  <c:v>43.9</c:v>
                </c:pt>
                <c:pt idx="43">
                  <c:v>43.8</c:v>
                </c:pt>
                <c:pt idx="44">
                  <c:v>44.1</c:v>
                </c:pt>
                <c:pt idx="45">
                  <c:v>44.2</c:v>
                </c:pt>
                <c:pt idx="46">
                  <c:v>45</c:v>
                </c:pt>
                <c:pt idx="47">
                  <c:v>45.2</c:v>
                </c:pt>
                <c:pt idx="48">
                  <c:v>46</c:v>
                </c:pt>
                <c:pt idx="49">
                  <c:v>47.3</c:v>
                </c:pt>
                <c:pt idx="50">
                  <c:v>48.2</c:v>
                </c:pt>
              </c:numCache>
            </c:numRef>
          </c:val>
          <c:smooth val="0"/>
        </c:ser>
        <c:dLbls>
          <c:showLegendKey val="0"/>
          <c:showVal val="0"/>
          <c:showCatName val="0"/>
          <c:showSerName val="0"/>
          <c:showPercent val="0"/>
          <c:showBubbleSize val="0"/>
        </c:dLbls>
        <c:marker val="1"/>
        <c:smooth val="0"/>
        <c:axId val="85497728"/>
        <c:axId val="85499264"/>
      </c:lineChart>
      <c:catAx>
        <c:axId val="85497728"/>
        <c:scaling>
          <c:orientation val="minMax"/>
        </c:scaling>
        <c:delete val="0"/>
        <c:axPos val="b"/>
        <c:majorTickMark val="out"/>
        <c:minorTickMark val="none"/>
        <c:tickLblPos val="nextTo"/>
        <c:spPr>
          <a:ln>
            <a:solidFill>
              <a:schemeClr val="tx1">
                <a:lumMod val="85000"/>
                <a:lumOff val="15000"/>
              </a:schemeClr>
            </a:solidFill>
          </a:ln>
        </c:spPr>
        <c:crossAx val="85499264"/>
        <c:crosses val="autoZero"/>
        <c:auto val="1"/>
        <c:lblAlgn val="ctr"/>
        <c:lblOffset val="100"/>
        <c:tickLblSkip val="5"/>
        <c:tickMarkSkip val="5"/>
        <c:noMultiLvlLbl val="0"/>
      </c:catAx>
      <c:valAx>
        <c:axId val="85499264"/>
        <c:scaling>
          <c:orientation val="minMax"/>
          <c:min val="0"/>
        </c:scaling>
        <c:delete val="0"/>
        <c:axPos val="l"/>
        <c:majorGridlines>
          <c:spPr>
            <a:ln>
              <a:solidFill>
                <a:schemeClr val="bg1">
                  <a:lumMod val="85000"/>
                </a:schemeClr>
              </a:solidFill>
            </a:ln>
          </c:spPr>
        </c:majorGridlines>
        <c:numFmt formatCode="0" sourceLinked="0"/>
        <c:majorTickMark val="out"/>
        <c:minorTickMark val="none"/>
        <c:tickLblPos val="nextTo"/>
        <c:spPr>
          <a:ln>
            <a:noFill/>
          </a:ln>
        </c:spPr>
        <c:crossAx val="85497728"/>
        <c:crosses val="autoZero"/>
        <c:crossBetween val="midCat"/>
      </c:valAx>
      <c:spPr>
        <a:ln>
          <a:solidFill>
            <a:schemeClr val="bg1">
              <a:lumMod val="85000"/>
            </a:schemeClr>
          </a:solidFill>
        </a:ln>
      </c:spPr>
    </c:plotArea>
    <c:plotVisOnly val="1"/>
    <c:dispBlanksAs val="gap"/>
    <c:showDLblsOverMax val="0"/>
  </c:chart>
  <c:spPr>
    <a:ln>
      <a:noFill/>
    </a:ln>
  </c:spPr>
  <c:txPr>
    <a:bodyPr/>
    <a:lstStyle/>
    <a:p>
      <a:pPr>
        <a:defRPr sz="900">
          <a:solidFill>
            <a:schemeClr val="tx1">
              <a:lumMod val="85000"/>
              <a:lumOff val="15000"/>
            </a:schemeClr>
          </a:solidFill>
        </a:defRPr>
      </a:pPr>
      <a:endParaRPr lang="fr-F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410584129695319E-2"/>
          <c:y val="3.4377052866994405E-2"/>
          <c:w val="0.84395059904566339"/>
          <c:h val="0.85266685858178792"/>
        </c:manualLayout>
      </c:layout>
      <c:lineChart>
        <c:grouping val="standard"/>
        <c:varyColors val="0"/>
        <c:ser>
          <c:idx val="0"/>
          <c:order val="0"/>
          <c:tx>
            <c:strRef>
              <c:f>'Total expenditure, % GDP'!$A$50</c:f>
              <c:strCache>
                <c:ptCount val="1"/>
                <c:pt idx="0">
                  <c:v>France</c:v>
                </c:pt>
              </c:strCache>
            </c:strRef>
          </c:tx>
          <c:spPr>
            <a:ln>
              <a:solidFill>
                <a:srgbClr val="7A003C"/>
              </a:solidFill>
            </a:ln>
          </c:spPr>
          <c:marker>
            <c:symbol val="none"/>
          </c:marker>
          <c:dPt>
            <c:idx val="50"/>
            <c:marker>
              <c:symbol val="circle"/>
              <c:size val="5"/>
              <c:spPr>
                <a:solidFill>
                  <a:schemeClr val="accent2">
                    <a:lumMod val="60000"/>
                    <a:lumOff val="40000"/>
                  </a:schemeClr>
                </a:solidFill>
                <a:ln>
                  <a:solidFill>
                    <a:srgbClr val="7A003C"/>
                  </a:solidFill>
                </a:ln>
              </c:spPr>
            </c:marker>
            <c:bubble3D val="0"/>
          </c:dPt>
          <c:dLbls>
            <c:dLbl>
              <c:idx val="38"/>
              <c:layout>
                <c:manualLayout>
                  <c:x val="-0.15805524691358025"/>
                  <c:y val="0.11852509625724122"/>
                </c:manualLayout>
              </c:layout>
              <c:tx>
                <c:rich>
                  <a:bodyPr/>
                  <a:lstStyle/>
                  <a:p>
                    <a:pPr>
                      <a:defRPr b="1">
                        <a:solidFill>
                          <a:srgbClr val="7A003C"/>
                        </a:solidFill>
                      </a:defRPr>
                    </a:pPr>
                    <a:r>
                      <a:rPr lang="en-US" b="1">
                        <a:solidFill>
                          <a:srgbClr val="7A003C"/>
                        </a:solidFill>
                      </a:rPr>
                      <a:t>France</a:t>
                    </a:r>
                  </a:p>
                </c:rich>
              </c:tx>
              <c:spPr/>
              <c:showLegendKey val="0"/>
              <c:showVal val="1"/>
              <c:showCatName val="0"/>
              <c:showSerName val="0"/>
              <c:showPercent val="0"/>
              <c:showBubbleSize val="0"/>
            </c:dLbl>
            <c:dLbl>
              <c:idx val="50"/>
              <c:layout>
                <c:manualLayout>
                  <c:x val="-2.3755246913580247E-2"/>
                  <c:y val="-6.361557228253957E-2"/>
                </c:manualLayout>
              </c:layout>
              <c:tx>
                <c:rich>
                  <a:bodyPr/>
                  <a:lstStyle/>
                  <a:p>
                    <a:pPr>
                      <a:defRPr b="1">
                        <a:solidFill>
                          <a:srgbClr val="7A003C"/>
                        </a:solidFill>
                      </a:defRPr>
                    </a:pPr>
                    <a:r>
                      <a:rPr lang="en-US" b="1">
                        <a:solidFill>
                          <a:srgbClr val="7A003C"/>
                        </a:solidFill>
                      </a:rPr>
                      <a:t>11,6%</a:t>
                    </a:r>
                  </a:p>
                </c:rich>
              </c:tx>
              <c:spPr/>
              <c:showLegendKey val="0"/>
              <c:showVal val="1"/>
              <c:showCatName val="0"/>
              <c:showSerName val="0"/>
              <c:showPercent val="0"/>
              <c:showBubbleSize val="0"/>
            </c:dLbl>
            <c:showLegendKey val="0"/>
            <c:showVal val="0"/>
            <c:showCatName val="0"/>
            <c:showSerName val="0"/>
            <c:showPercent val="0"/>
            <c:showBubbleSize val="0"/>
          </c:dLbls>
          <c:cat>
            <c:strRef>
              <c:f>'Total expenditure, % GDP'!$B$49:$AZ$49</c:f>
              <c:strCache>
                <c:ptCount val="51"/>
                <c:pt idx="0">
                  <c:v>60</c:v>
                </c:pt>
                <c:pt idx="1">
                  <c:v>61</c:v>
                </c:pt>
                <c:pt idx="2">
                  <c:v>62</c:v>
                </c:pt>
                <c:pt idx="3">
                  <c:v>63</c:v>
                </c:pt>
                <c:pt idx="4">
                  <c:v>64</c:v>
                </c:pt>
                <c:pt idx="5">
                  <c:v>65</c:v>
                </c:pt>
                <c:pt idx="6">
                  <c:v>66</c:v>
                </c:pt>
                <c:pt idx="7">
                  <c:v>67</c:v>
                </c:pt>
                <c:pt idx="8">
                  <c:v>68</c:v>
                </c:pt>
                <c:pt idx="9">
                  <c:v>69</c:v>
                </c:pt>
                <c:pt idx="10">
                  <c:v>70</c:v>
                </c:pt>
                <c:pt idx="11">
                  <c:v>71</c:v>
                </c:pt>
                <c:pt idx="12">
                  <c:v>72</c:v>
                </c:pt>
                <c:pt idx="13">
                  <c:v>73</c:v>
                </c:pt>
                <c:pt idx="14">
                  <c:v>74</c:v>
                </c:pt>
                <c:pt idx="15">
                  <c:v>75</c:v>
                </c:pt>
                <c:pt idx="16">
                  <c:v>76</c:v>
                </c:pt>
                <c:pt idx="17">
                  <c:v>77</c:v>
                </c:pt>
                <c:pt idx="18">
                  <c:v>78</c:v>
                </c:pt>
                <c:pt idx="19">
                  <c:v>79</c:v>
                </c:pt>
                <c:pt idx="20">
                  <c:v>80</c:v>
                </c:pt>
                <c:pt idx="21">
                  <c:v>81</c:v>
                </c:pt>
                <c:pt idx="22">
                  <c:v>82</c:v>
                </c:pt>
                <c:pt idx="23">
                  <c:v>83</c:v>
                </c:pt>
                <c:pt idx="24">
                  <c:v>84</c:v>
                </c:pt>
                <c:pt idx="25">
                  <c:v>85</c:v>
                </c:pt>
                <c:pt idx="26">
                  <c:v>86</c:v>
                </c:pt>
                <c:pt idx="27">
                  <c:v>87</c:v>
                </c:pt>
                <c:pt idx="28">
                  <c:v>88</c:v>
                </c:pt>
                <c:pt idx="29">
                  <c:v>89</c:v>
                </c:pt>
                <c:pt idx="30">
                  <c:v>90</c:v>
                </c:pt>
                <c:pt idx="31">
                  <c:v>91</c:v>
                </c:pt>
                <c:pt idx="32">
                  <c:v>92</c:v>
                </c:pt>
                <c:pt idx="33">
                  <c:v>93</c:v>
                </c:pt>
                <c:pt idx="34">
                  <c:v>94</c:v>
                </c:pt>
                <c:pt idx="35">
                  <c:v>95</c:v>
                </c:pt>
                <c:pt idx="36">
                  <c:v>96</c:v>
                </c:pt>
                <c:pt idx="37">
                  <c:v>97</c:v>
                </c:pt>
                <c:pt idx="38">
                  <c:v>98</c:v>
                </c:pt>
                <c:pt idx="39">
                  <c:v>99</c:v>
                </c:pt>
                <c:pt idx="40">
                  <c:v>00</c:v>
                </c:pt>
                <c:pt idx="41">
                  <c:v>01</c:v>
                </c:pt>
                <c:pt idx="42">
                  <c:v>02</c:v>
                </c:pt>
                <c:pt idx="43">
                  <c:v>03</c:v>
                </c:pt>
                <c:pt idx="44">
                  <c:v>04</c:v>
                </c:pt>
                <c:pt idx="45">
                  <c:v>05</c:v>
                </c:pt>
                <c:pt idx="46">
                  <c:v>06</c:v>
                </c:pt>
                <c:pt idx="47">
                  <c:v>07</c:v>
                </c:pt>
                <c:pt idx="48">
                  <c:v>08</c:v>
                </c:pt>
                <c:pt idx="49">
                  <c:v>09</c:v>
                </c:pt>
                <c:pt idx="50">
                  <c:v>10</c:v>
                </c:pt>
              </c:strCache>
            </c:strRef>
          </c:cat>
          <c:val>
            <c:numRef>
              <c:f>'Total expenditure, % GDP'!$B$50:$AZ$50</c:f>
              <c:numCache>
                <c:formatCode>0.0</c:formatCode>
                <c:ptCount val="51"/>
                <c:pt idx="0">
                  <c:v>3.8</c:v>
                </c:pt>
                <c:pt idx="1">
                  <c:v>3.981760415550478</c:v>
                </c:pt>
                <c:pt idx="2">
                  <c:v>4.1722147386433459</c:v>
                </c:pt>
                <c:pt idx="3">
                  <c:v>4.3717788135544033</c:v>
                </c:pt>
                <c:pt idx="4">
                  <c:v>4.5808883750928331</c:v>
                </c:pt>
                <c:pt idx="5">
                  <c:v>4.8</c:v>
                </c:pt>
                <c:pt idx="6">
                  <c:v>4.9144140265901255</c:v>
                </c:pt>
                <c:pt idx="7">
                  <c:v>5.0315552551553706</c:v>
                </c:pt>
                <c:pt idx="8">
                  <c:v>5.15148869197892</c:v>
                </c:pt>
                <c:pt idx="9">
                  <c:v>5.2742808928503404</c:v>
                </c:pt>
                <c:pt idx="10">
                  <c:v>5.4</c:v>
                </c:pt>
                <c:pt idx="11">
                  <c:v>5.5866440660952845</c:v>
                </c:pt>
                <c:pt idx="12">
                  <c:v>5.7797392446737534</c:v>
                </c:pt>
                <c:pt idx="13">
                  <c:v>5.9795085101544894</c:v>
                </c:pt>
                <c:pt idx="14">
                  <c:v>6.1861825437816442</c:v>
                </c:pt>
                <c:pt idx="15">
                  <c:v>6.4</c:v>
                </c:pt>
                <c:pt idx="16">
                  <c:v>6.5157376148492725</c:v>
                </c:pt>
                <c:pt idx="17">
                  <c:v>6.6335682289940152</c:v>
                </c:pt>
                <c:pt idx="18">
                  <c:v>6.7535296922383434</c:v>
                </c:pt>
                <c:pt idx="19">
                  <c:v>6.8756605388623111</c:v>
                </c:pt>
                <c:pt idx="20">
                  <c:v>7</c:v>
                </c:pt>
                <c:pt idx="21">
                  <c:v>7.1894626096254619</c:v>
                </c:pt>
                <c:pt idx="22">
                  <c:v>7.3840532307432225</c:v>
                </c:pt>
                <c:pt idx="23">
                  <c:v>7.5839106585588745</c:v>
                </c:pt>
                <c:pt idx="24">
                  <c:v>7.7891774449214024</c:v>
                </c:pt>
                <c:pt idx="25">
                  <c:v>8</c:v>
                </c:pt>
                <c:pt idx="26">
                  <c:v>8.0784463813878826</c:v>
                </c:pt>
                <c:pt idx="27">
                  <c:v>8.1576619921198699</c:v>
                </c:pt>
                <c:pt idx="28">
                  <c:v>8.2376543751032827</c:v>
                </c:pt>
                <c:pt idx="29">
                  <c:v>8.3184311472096528</c:v>
                </c:pt>
                <c:pt idx="30">
                  <c:v>8.4</c:v>
                </c:pt>
                <c:pt idx="31">
                  <c:v>8.6</c:v>
                </c:pt>
                <c:pt idx="32">
                  <c:v>8.9</c:v>
                </c:pt>
                <c:pt idx="33">
                  <c:v>9.3000000000000007</c:v>
                </c:pt>
                <c:pt idx="34">
                  <c:v>9.3000000000000007</c:v>
                </c:pt>
                <c:pt idx="35">
                  <c:v>10.4</c:v>
                </c:pt>
                <c:pt idx="36">
                  <c:v>10.4</c:v>
                </c:pt>
                <c:pt idx="37">
                  <c:v>10.3</c:v>
                </c:pt>
                <c:pt idx="38">
                  <c:v>10.1</c:v>
                </c:pt>
                <c:pt idx="39">
                  <c:v>10.200000000000001</c:v>
                </c:pt>
                <c:pt idx="40">
                  <c:v>10.1</c:v>
                </c:pt>
                <c:pt idx="41">
                  <c:v>10.200000000000001</c:v>
                </c:pt>
                <c:pt idx="42">
                  <c:v>10.6</c:v>
                </c:pt>
                <c:pt idx="43">
                  <c:v>10.9</c:v>
                </c:pt>
                <c:pt idx="44">
                  <c:v>11</c:v>
                </c:pt>
                <c:pt idx="45">
                  <c:v>11.2</c:v>
                </c:pt>
                <c:pt idx="46">
                  <c:v>11.1</c:v>
                </c:pt>
                <c:pt idx="47">
                  <c:v>11.1</c:v>
                </c:pt>
                <c:pt idx="48">
                  <c:v>11</c:v>
                </c:pt>
                <c:pt idx="49">
                  <c:v>11.7</c:v>
                </c:pt>
                <c:pt idx="50">
                  <c:v>11.6</c:v>
                </c:pt>
              </c:numCache>
            </c:numRef>
          </c:val>
          <c:smooth val="0"/>
        </c:ser>
        <c:ser>
          <c:idx val="1"/>
          <c:order val="1"/>
          <c:tx>
            <c:strRef>
              <c:f>'Total expenditure, % GDP'!$A$51</c:f>
              <c:strCache>
                <c:ptCount val="1"/>
                <c:pt idx="0">
                  <c:v>Etats-Unis</c:v>
                </c:pt>
              </c:strCache>
            </c:strRef>
          </c:tx>
          <c:spPr>
            <a:ln>
              <a:solidFill>
                <a:schemeClr val="bg1">
                  <a:lumMod val="65000"/>
                </a:schemeClr>
              </a:solidFill>
            </a:ln>
          </c:spPr>
          <c:marker>
            <c:symbol val="none"/>
          </c:marker>
          <c:dPt>
            <c:idx val="50"/>
            <c:marker>
              <c:symbol val="circle"/>
              <c:size val="5"/>
              <c:spPr>
                <a:solidFill>
                  <a:schemeClr val="bg1">
                    <a:lumMod val="75000"/>
                  </a:schemeClr>
                </a:solidFill>
                <a:ln>
                  <a:solidFill>
                    <a:schemeClr val="tx1">
                      <a:lumMod val="85000"/>
                      <a:lumOff val="15000"/>
                    </a:schemeClr>
                  </a:solidFill>
                </a:ln>
              </c:spPr>
            </c:marker>
            <c:bubble3D val="0"/>
          </c:dPt>
          <c:dLbls>
            <c:dLbl>
              <c:idx val="35"/>
              <c:layout>
                <c:manualLayout>
                  <c:x val="-0.22223993593613708"/>
                  <c:y val="-5.1014229958362932E-2"/>
                </c:manualLayout>
              </c:layout>
              <c:tx>
                <c:rich>
                  <a:bodyPr/>
                  <a:lstStyle/>
                  <a:p>
                    <a:pPr>
                      <a:defRPr>
                        <a:solidFill>
                          <a:schemeClr val="tx1">
                            <a:lumMod val="85000"/>
                            <a:lumOff val="15000"/>
                          </a:schemeClr>
                        </a:solidFill>
                      </a:defRPr>
                    </a:pPr>
                    <a:r>
                      <a:rPr lang="en-US" b="1">
                        <a:solidFill>
                          <a:schemeClr val="tx1">
                            <a:lumMod val="85000"/>
                            <a:lumOff val="15000"/>
                          </a:schemeClr>
                        </a:solidFill>
                      </a:rPr>
                      <a:t>Etats-Unis</a:t>
                    </a:r>
                  </a:p>
                </c:rich>
              </c:tx>
              <c:spPr/>
              <c:showLegendKey val="0"/>
              <c:showVal val="1"/>
              <c:showCatName val="0"/>
              <c:showSerName val="0"/>
              <c:showPercent val="0"/>
              <c:showBubbleSize val="0"/>
            </c:dLbl>
            <c:dLbl>
              <c:idx val="50"/>
              <c:layout>
                <c:manualLayout>
                  <c:x val="-2.7507716049382715E-2"/>
                  <c:y val="-6.361557228253957E-2"/>
                </c:manualLayout>
              </c:layout>
              <c:tx>
                <c:rich>
                  <a:bodyPr/>
                  <a:lstStyle/>
                  <a:p>
                    <a:r>
                      <a:rPr lang="en-US" b="1"/>
                      <a:t>17,6%</a:t>
                    </a:r>
                  </a:p>
                </c:rich>
              </c:tx>
              <c:showLegendKey val="0"/>
              <c:showVal val="1"/>
              <c:showCatName val="0"/>
              <c:showSerName val="0"/>
              <c:showPercent val="0"/>
              <c:showBubbleSize val="0"/>
            </c:dLbl>
            <c:showLegendKey val="0"/>
            <c:showVal val="0"/>
            <c:showCatName val="0"/>
            <c:showSerName val="0"/>
            <c:showPercent val="0"/>
            <c:showBubbleSize val="0"/>
          </c:dLbls>
          <c:cat>
            <c:strRef>
              <c:f>'Total expenditure, % GDP'!$B$49:$AZ$49</c:f>
              <c:strCache>
                <c:ptCount val="51"/>
                <c:pt idx="0">
                  <c:v>60</c:v>
                </c:pt>
                <c:pt idx="1">
                  <c:v>61</c:v>
                </c:pt>
                <c:pt idx="2">
                  <c:v>62</c:v>
                </c:pt>
                <c:pt idx="3">
                  <c:v>63</c:v>
                </c:pt>
                <c:pt idx="4">
                  <c:v>64</c:v>
                </c:pt>
                <c:pt idx="5">
                  <c:v>65</c:v>
                </c:pt>
                <c:pt idx="6">
                  <c:v>66</c:v>
                </c:pt>
                <c:pt idx="7">
                  <c:v>67</c:v>
                </c:pt>
                <c:pt idx="8">
                  <c:v>68</c:v>
                </c:pt>
                <c:pt idx="9">
                  <c:v>69</c:v>
                </c:pt>
                <c:pt idx="10">
                  <c:v>70</c:v>
                </c:pt>
                <c:pt idx="11">
                  <c:v>71</c:v>
                </c:pt>
                <c:pt idx="12">
                  <c:v>72</c:v>
                </c:pt>
                <c:pt idx="13">
                  <c:v>73</c:v>
                </c:pt>
                <c:pt idx="14">
                  <c:v>74</c:v>
                </c:pt>
                <c:pt idx="15">
                  <c:v>75</c:v>
                </c:pt>
                <c:pt idx="16">
                  <c:v>76</c:v>
                </c:pt>
                <c:pt idx="17">
                  <c:v>77</c:v>
                </c:pt>
                <c:pt idx="18">
                  <c:v>78</c:v>
                </c:pt>
                <c:pt idx="19">
                  <c:v>79</c:v>
                </c:pt>
                <c:pt idx="20">
                  <c:v>80</c:v>
                </c:pt>
                <c:pt idx="21">
                  <c:v>81</c:v>
                </c:pt>
                <c:pt idx="22">
                  <c:v>82</c:v>
                </c:pt>
                <c:pt idx="23">
                  <c:v>83</c:v>
                </c:pt>
                <c:pt idx="24">
                  <c:v>84</c:v>
                </c:pt>
                <c:pt idx="25">
                  <c:v>85</c:v>
                </c:pt>
                <c:pt idx="26">
                  <c:v>86</c:v>
                </c:pt>
                <c:pt idx="27">
                  <c:v>87</c:v>
                </c:pt>
                <c:pt idx="28">
                  <c:v>88</c:v>
                </c:pt>
                <c:pt idx="29">
                  <c:v>89</c:v>
                </c:pt>
                <c:pt idx="30">
                  <c:v>90</c:v>
                </c:pt>
                <c:pt idx="31">
                  <c:v>91</c:v>
                </c:pt>
                <c:pt idx="32">
                  <c:v>92</c:v>
                </c:pt>
                <c:pt idx="33">
                  <c:v>93</c:v>
                </c:pt>
                <c:pt idx="34">
                  <c:v>94</c:v>
                </c:pt>
                <c:pt idx="35">
                  <c:v>95</c:v>
                </c:pt>
                <c:pt idx="36">
                  <c:v>96</c:v>
                </c:pt>
                <c:pt idx="37">
                  <c:v>97</c:v>
                </c:pt>
                <c:pt idx="38">
                  <c:v>98</c:v>
                </c:pt>
                <c:pt idx="39">
                  <c:v>99</c:v>
                </c:pt>
                <c:pt idx="40">
                  <c:v>00</c:v>
                </c:pt>
                <c:pt idx="41">
                  <c:v>01</c:v>
                </c:pt>
                <c:pt idx="42">
                  <c:v>02</c:v>
                </c:pt>
                <c:pt idx="43">
                  <c:v>03</c:v>
                </c:pt>
                <c:pt idx="44">
                  <c:v>04</c:v>
                </c:pt>
                <c:pt idx="45">
                  <c:v>05</c:v>
                </c:pt>
                <c:pt idx="46">
                  <c:v>06</c:v>
                </c:pt>
                <c:pt idx="47">
                  <c:v>07</c:v>
                </c:pt>
                <c:pt idx="48">
                  <c:v>08</c:v>
                </c:pt>
                <c:pt idx="49">
                  <c:v>09</c:v>
                </c:pt>
                <c:pt idx="50">
                  <c:v>10</c:v>
                </c:pt>
              </c:strCache>
            </c:strRef>
          </c:cat>
          <c:val>
            <c:numRef>
              <c:f>'Total expenditure, % GDP'!$B$51:$AZ$51</c:f>
              <c:numCache>
                <c:formatCode>0.0</c:formatCode>
                <c:ptCount val="51"/>
                <c:pt idx="0">
                  <c:v>5.0999999999999996</c:v>
                </c:pt>
                <c:pt idx="1">
                  <c:v>5.3</c:v>
                </c:pt>
                <c:pt idx="2">
                  <c:v>5.3</c:v>
                </c:pt>
                <c:pt idx="3">
                  <c:v>5.5</c:v>
                </c:pt>
                <c:pt idx="4">
                  <c:v>5.7</c:v>
                </c:pt>
                <c:pt idx="5">
                  <c:v>5.7</c:v>
                </c:pt>
                <c:pt idx="6">
                  <c:v>5.7</c:v>
                </c:pt>
                <c:pt idx="7">
                  <c:v>6.1</c:v>
                </c:pt>
                <c:pt idx="8">
                  <c:v>6.3</c:v>
                </c:pt>
                <c:pt idx="9">
                  <c:v>6.6</c:v>
                </c:pt>
                <c:pt idx="10">
                  <c:v>7.1</c:v>
                </c:pt>
                <c:pt idx="11">
                  <c:v>7.3</c:v>
                </c:pt>
                <c:pt idx="12">
                  <c:v>7.4</c:v>
                </c:pt>
                <c:pt idx="13">
                  <c:v>7.4</c:v>
                </c:pt>
                <c:pt idx="14">
                  <c:v>7.7</c:v>
                </c:pt>
                <c:pt idx="15">
                  <c:v>8</c:v>
                </c:pt>
                <c:pt idx="16">
                  <c:v>8.3000000000000007</c:v>
                </c:pt>
                <c:pt idx="17">
                  <c:v>8.4</c:v>
                </c:pt>
                <c:pt idx="18">
                  <c:v>8.4</c:v>
                </c:pt>
                <c:pt idx="19">
                  <c:v>8.5</c:v>
                </c:pt>
                <c:pt idx="20">
                  <c:v>9</c:v>
                </c:pt>
                <c:pt idx="21">
                  <c:v>9.4</c:v>
                </c:pt>
                <c:pt idx="22">
                  <c:v>10.200000000000001</c:v>
                </c:pt>
                <c:pt idx="23">
                  <c:v>10.3</c:v>
                </c:pt>
                <c:pt idx="24">
                  <c:v>10.200000000000001</c:v>
                </c:pt>
                <c:pt idx="25">
                  <c:v>10.4</c:v>
                </c:pt>
                <c:pt idx="26">
                  <c:v>10.6</c:v>
                </c:pt>
                <c:pt idx="27">
                  <c:v>10.8</c:v>
                </c:pt>
                <c:pt idx="28">
                  <c:v>11.3</c:v>
                </c:pt>
                <c:pt idx="29">
                  <c:v>11.7</c:v>
                </c:pt>
                <c:pt idx="30">
                  <c:v>12.4</c:v>
                </c:pt>
                <c:pt idx="31">
                  <c:v>13.1</c:v>
                </c:pt>
                <c:pt idx="32">
                  <c:v>13.4</c:v>
                </c:pt>
                <c:pt idx="33">
                  <c:v>13.7</c:v>
                </c:pt>
                <c:pt idx="34">
                  <c:v>13.6</c:v>
                </c:pt>
                <c:pt idx="35">
                  <c:v>13.7</c:v>
                </c:pt>
                <c:pt idx="36">
                  <c:v>13.7</c:v>
                </c:pt>
                <c:pt idx="37">
                  <c:v>13.6</c:v>
                </c:pt>
                <c:pt idx="38">
                  <c:v>13.6</c:v>
                </c:pt>
                <c:pt idx="39">
                  <c:v>13.6</c:v>
                </c:pt>
                <c:pt idx="40">
                  <c:v>13.7</c:v>
                </c:pt>
                <c:pt idx="41">
                  <c:v>14.3</c:v>
                </c:pt>
                <c:pt idx="42">
                  <c:v>15.1</c:v>
                </c:pt>
                <c:pt idx="43">
                  <c:v>15.7</c:v>
                </c:pt>
                <c:pt idx="44">
                  <c:v>15.8</c:v>
                </c:pt>
                <c:pt idx="45">
                  <c:v>15.8</c:v>
                </c:pt>
                <c:pt idx="46">
                  <c:v>15.9</c:v>
                </c:pt>
                <c:pt idx="47">
                  <c:v>16.2</c:v>
                </c:pt>
                <c:pt idx="48">
                  <c:v>16.600000000000001</c:v>
                </c:pt>
                <c:pt idx="49">
                  <c:v>17.7</c:v>
                </c:pt>
                <c:pt idx="50">
                  <c:v>17.600000000000001</c:v>
                </c:pt>
              </c:numCache>
            </c:numRef>
          </c:val>
          <c:smooth val="0"/>
        </c:ser>
        <c:dLbls>
          <c:showLegendKey val="0"/>
          <c:showVal val="0"/>
          <c:showCatName val="0"/>
          <c:showSerName val="0"/>
          <c:showPercent val="0"/>
          <c:showBubbleSize val="0"/>
        </c:dLbls>
        <c:marker val="1"/>
        <c:smooth val="0"/>
        <c:axId val="85617280"/>
        <c:axId val="85639552"/>
      </c:lineChart>
      <c:catAx>
        <c:axId val="85617280"/>
        <c:scaling>
          <c:orientation val="minMax"/>
        </c:scaling>
        <c:delete val="0"/>
        <c:axPos val="b"/>
        <c:majorTickMark val="out"/>
        <c:minorTickMark val="none"/>
        <c:tickLblPos val="nextTo"/>
        <c:spPr>
          <a:ln>
            <a:solidFill>
              <a:schemeClr val="tx1">
                <a:lumMod val="85000"/>
                <a:lumOff val="15000"/>
              </a:schemeClr>
            </a:solidFill>
          </a:ln>
        </c:spPr>
        <c:crossAx val="85639552"/>
        <c:crosses val="autoZero"/>
        <c:auto val="1"/>
        <c:lblAlgn val="ctr"/>
        <c:lblOffset val="100"/>
        <c:tickLblSkip val="5"/>
        <c:tickMarkSkip val="5"/>
        <c:noMultiLvlLbl val="0"/>
      </c:catAx>
      <c:valAx>
        <c:axId val="85639552"/>
        <c:scaling>
          <c:orientation val="minMax"/>
          <c:min val="0"/>
        </c:scaling>
        <c:delete val="0"/>
        <c:axPos val="l"/>
        <c:majorGridlines>
          <c:spPr>
            <a:ln>
              <a:solidFill>
                <a:schemeClr val="bg1">
                  <a:lumMod val="85000"/>
                </a:schemeClr>
              </a:solidFill>
            </a:ln>
          </c:spPr>
        </c:majorGridlines>
        <c:numFmt formatCode="0" sourceLinked="0"/>
        <c:majorTickMark val="out"/>
        <c:minorTickMark val="none"/>
        <c:tickLblPos val="nextTo"/>
        <c:spPr>
          <a:ln>
            <a:noFill/>
          </a:ln>
        </c:spPr>
        <c:crossAx val="85617280"/>
        <c:crosses val="autoZero"/>
        <c:crossBetween val="midCat"/>
      </c:valAx>
      <c:spPr>
        <a:ln>
          <a:solidFill>
            <a:schemeClr val="bg1">
              <a:lumMod val="85000"/>
            </a:schemeClr>
          </a:solidFill>
        </a:ln>
      </c:spPr>
    </c:plotArea>
    <c:plotVisOnly val="1"/>
    <c:dispBlanksAs val="gap"/>
    <c:showDLblsOverMax val="0"/>
  </c:chart>
  <c:spPr>
    <a:ln>
      <a:noFill/>
    </a:ln>
  </c:spPr>
  <c:txPr>
    <a:bodyPr/>
    <a:lstStyle/>
    <a:p>
      <a:pPr>
        <a:defRPr sz="900">
          <a:solidFill>
            <a:schemeClr val="tx1">
              <a:lumMod val="85000"/>
              <a:lumOff val="15000"/>
            </a:schemeClr>
          </a:solidFill>
        </a:defRPr>
      </a:pPr>
      <a:endParaRPr lang="fr-FR"/>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0.01163</cdr:x>
      <cdr:y>0.91176</cdr:y>
    </cdr:from>
    <cdr:to>
      <cdr:x>0.78488</cdr:x>
      <cdr:y>0.99019</cdr:y>
    </cdr:to>
    <cdr:sp macro="" textlink="">
      <cdr:nvSpPr>
        <cdr:cNvPr id="2" name="ZoneTexte 1"/>
        <cdr:cNvSpPr txBox="1"/>
      </cdr:nvSpPr>
      <cdr:spPr>
        <a:xfrm xmlns:a="http://schemas.openxmlformats.org/drawingml/2006/main">
          <a:off x="57164" y="2657473"/>
          <a:ext cx="3800446" cy="2285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850" b="1" i="1">
              <a:solidFill>
                <a:schemeClr val="tx1">
                  <a:lumMod val="75000"/>
                  <a:lumOff val="25000"/>
                </a:schemeClr>
              </a:solidFill>
            </a:rPr>
            <a:t>Evolution des dépenses d'optique </a:t>
          </a:r>
          <a:r>
            <a:rPr lang="fr-FR" sz="850" i="1">
              <a:solidFill>
                <a:schemeClr val="tx1">
                  <a:lumMod val="75000"/>
                  <a:lumOff val="25000"/>
                </a:schemeClr>
              </a:solidFill>
            </a:rPr>
            <a:t>(variation annuelle)</a:t>
          </a:r>
        </a:p>
      </cdr:txBody>
    </cdr:sp>
  </cdr:relSizeAnchor>
</c:userShapes>
</file>

<file path=word/drawings/drawing10.xml><?xml version="1.0" encoding="utf-8"?>
<c:userShapes xmlns:c="http://schemas.openxmlformats.org/drawingml/2006/chart">
  <cdr:relSizeAnchor xmlns:cdr="http://schemas.openxmlformats.org/drawingml/2006/chartDrawing">
    <cdr:from>
      <cdr:x>0.59087</cdr:x>
      <cdr:y>0.47833</cdr:y>
    </cdr:from>
    <cdr:to>
      <cdr:x>0.94295</cdr:x>
      <cdr:y>0.60169</cdr:y>
    </cdr:to>
    <cdr:sp macro="" textlink="">
      <cdr:nvSpPr>
        <cdr:cNvPr id="2" name="ZoneTexte 1"/>
        <cdr:cNvSpPr txBox="1"/>
      </cdr:nvSpPr>
      <cdr:spPr>
        <a:xfrm xmlns:a="http://schemas.openxmlformats.org/drawingml/2006/main">
          <a:off x="1874123" y="1075246"/>
          <a:ext cx="1116737" cy="2773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900" b="1">
              <a:solidFill>
                <a:srgbClr val="7A003C"/>
              </a:solidFill>
            </a:rPr>
            <a:t>Lunettes de vue</a:t>
          </a:r>
        </a:p>
      </cdr:txBody>
    </cdr:sp>
  </cdr:relSizeAnchor>
</c:userShapes>
</file>

<file path=word/drawings/drawing11.xml><?xml version="1.0" encoding="utf-8"?>
<c:userShapes xmlns:c="http://schemas.openxmlformats.org/drawingml/2006/chart">
  <cdr:relSizeAnchor xmlns:cdr="http://schemas.openxmlformats.org/drawingml/2006/chartDrawing">
    <cdr:from>
      <cdr:x>0.52589</cdr:x>
      <cdr:y>0.09184</cdr:y>
    </cdr:from>
    <cdr:to>
      <cdr:x>0.95631</cdr:x>
      <cdr:y>0.74033</cdr:y>
    </cdr:to>
    <cdr:sp macro="" textlink="">
      <cdr:nvSpPr>
        <cdr:cNvPr id="2" name="ZoneTexte 1"/>
        <cdr:cNvSpPr txBox="1"/>
      </cdr:nvSpPr>
      <cdr:spPr>
        <a:xfrm xmlns:a="http://schemas.openxmlformats.org/drawingml/2006/main">
          <a:off x="3095625" y="230074"/>
          <a:ext cx="2533650" cy="16245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900" b="1">
              <a:solidFill>
                <a:schemeClr val="tx1">
                  <a:lumMod val="85000"/>
                  <a:lumOff val="15000"/>
                </a:schemeClr>
              </a:solidFill>
            </a:rPr>
            <a:t>Optique simple</a:t>
          </a:r>
          <a:r>
            <a:rPr lang="fr-FR" sz="900" b="1" baseline="0">
              <a:solidFill>
                <a:schemeClr val="tx1">
                  <a:lumMod val="85000"/>
                  <a:lumOff val="15000"/>
                </a:schemeClr>
              </a:solidFill>
            </a:rPr>
            <a:t> : </a:t>
          </a:r>
        </a:p>
        <a:p xmlns:a="http://schemas.openxmlformats.org/drawingml/2006/main">
          <a:r>
            <a:rPr lang="fr-FR" sz="900" baseline="0">
              <a:solidFill>
                <a:schemeClr val="tx1">
                  <a:lumMod val="85000"/>
                  <a:lumOff val="15000"/>
                </a:schemeClr>
              </a:solidFill>
            </a:rPr>
            <a:t>Prix de référence 200€</a:t>
          </a:r>
        </a:p>
        <a:p xmlns:a="http://schemas.openxmlformats.org/drawingml/2006/main">
          <a:r>
            <a:rPr lang="fr-FR" sz="900" baseline="0">
              <a:solidFill>
                <a:schemeClr val="tx1">
                  <a:lumMod val="85000"/>
                  <a:lumOff val="15000"/>
                </a:schemeClr>
              </a:solidFill>
            </a:rPr>
            <a:t>(100€ de monture + 50€ par verre simple)</a:t>
          </a:r>
        </a:p>
        <a:p xmlns:a="http://schemas.openxmlformats.org/drawingml/2006/main">
          <a:endParaRPr lang="fr-FR" sz="900" baseline="0">
            <a:solidFill>
              <a:schemeClr val="tx1">
                <a:lumMod val="85000"/>
                <a:lumOff val="15000"/>
              </a:schemeClr>
            </a:solidFill>
          </a:endParaRPr>
        </a:p>
        <a:p xmlns:a="http://schemas.openxmlformats.org/drawingml/2006/main">
          <a:r>
            <a:rPr lang="fr-FR" sz="900" b="1" baseline="0">
              <a:solidFill>
                <a:schemeClr val="tx1">
                  <a:lumMod val="85000"/>
                  <a:lumOff val="15000"/>
                </a:schemeClr>
              </a:solidFill>
            </a:rPr>
            <a:t>Optique complexe :</a:t>
          </a:r>
        </a:p>
        <a:p xmlns:a="http://schemas.openxmlformats.org/drawingml/2006/main">
          <a:r>
            <a:rPr lang="fr-FR" sz="900" baseline="0">
              <a:solidFill>
                <a:schemeClr val="tx1">
                  <a:lumMod val="85000"/>
                  <a:lumOff val="15000"/>
                </a:schemeClr>
              </a:solidFill>
            </a:rPr>
            <a:t>Prix de référence 500€</a:t>
          </a:r>
        </a:p>
        <a:p xmlns:a="http://schemas.openxmlformats.org/drawingml/2006/main">
          <a:r>
            <a:rPr lang="fr-FR" sz="900" baseline="0">
              <a:solidFill>
                <a:schemeClr val="tx1">
                  <a:lumMod val="85000"/>
                  <a:lumOff val="15000"/>
                </a:schemeClr>
              </a:solidFill>
            </a:rPr>
            <a:t>(100€ de monture + 200€ par verre complexe)</a:t>
          </a:r>
          <a:endParaRPr lang="fr-FR" sz="900">
            <a:solidFill>
              <a:schemeClr val="tx1">
                <a:lumMod val="85000"/>
                <a:lumOff val="15000"/>
              </a:schemeClr>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0.70846</cdr:x>
      <cdr:y>0.54297</cdr:y>
    </cdr:from>
    <cdr:to>
      <cdr:x>1</cdr:x>
      <cdr:y>0.75284</cdr:y>
    </cdr:to>
    <cdr:sp macro="" textlink="">
      <cdr:nvSpPr>
        <cdr:cNvPr id="3" name="ZoneTexte 4"/>
        <cdr:cNvSpPr txBox="1"/>
      </cdr:nvSpPr>
      <cdr:spPr>
        <a:xfrm xmlns:a="http://schemas.openxmlformats.org/drawingml/2006/main">
          <a:off x="2388820" y="1137792"/>
          <a:ext cx="983030" cy="439782"/>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l"/>
          <a:r>
            <a:rPr lang="fr-FR" sz="900" b="0">
              <a:solidFill>
                <a:srgbClr val="7A003C"/>
              </a:solidFill>
            </a:rPr>
            <a:t>Objectifs</a:t>
          </a:r>
          <a:r>
            <a:rPr lang="fr-FR" sz="900" b="0" baseline="0">
              <a:solidFill>
                <a:srgbClr val="7A003C"/>
              </a:solidFill>
            </a:rPr>
            <a:t> du Gouvernement</a:t>
          </a:r>
          <a:endParaRPr lang="fr-FR" sz="900" b="0">
            <a:solidFill>
              <a:srgbClr val="7A003C"/>
            </a:solidFill>
          </a:endParaRPr>
        </a:p>
      </cdr:txBody>
    </cdr:sp>
  </cdr:relSizeAnchor>
  <cdr:relSizeAnchor xmlns:cdr="http://schemas.openxmlformats.org/drawingml/2006/chartDrawing">
    <cdr:from>
      <cdr:x>0.77401</cdr:x>
      <cdr:y>0.17727</cdr:y>
    </cdr:from>
    <cdr:to>
      <cdr:x>0.92373</cdr:x>
      <cdr:y>0.52727</cdr:y>
    </cdr:to>
    <cdr:sp macro="" textlink="">
      <cdr:nvSpPr>
        <cdr:cNvPr id="5" name="Connecteur droit avec flèche 4"/>
        <cdr:cNvSpPr/>
      </cdr:nvSpPr>
      <cdr:spPr>
        <a:xfrm xmlns:a="http://schemas.openxmlformats.org/drawingml/2006/main" flipV="1">
          <a:off x="2609850" y="371474"/>
          <a:ext cx="504825" cy="733425"/>
        </a:xfrm>
        <a:prstGeom xmlns:a="http://schemas.openxmlformats.org/drawingml/2006/main" prst="straightConnector1">
          <a:avLst/>
        </a:prstGeom>
        <a:ln xmlns:a="http://schemas.openxmlformats.org/drawingml/2006/main">
          <a:solidFill>
            <a:srgbClr val="7A003C"/>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userShapes>
</file>

<file path=word/drawings/drawing3.xml><?xml version="1.0" encoding="utf-8"?>
<c:userShapes xmlns:c="http://schemas.openxmlformats.org/drawingml/2006/chart">
  <cdr:relSizeAnchor xmlns:cdr="http://schemas.openxmlformats.org/drawingml/2006/chartDrawing">
    <cdr:from>
      <cdr:x>0.52835</cdr:x>
      <cdr:y>0.16191</cdr:y>
    </cdr:from>
    <cdr:to>
      <cdr:x>0.87879</cdr:x>
      <cdr:y>0.80476</cdr:y>
    </cdr:to>
    <cdr:sp macro="" textlink="">
      <cdr:nvSpPr>
        <cdr:cNvPr id="3" name="ZoneTexte 1"/>
        <cdr:cNvSpPr txBox="1"/>
      </cdr:nvSpPr>
      <cdr:spPr>
        <a:xfrm xmlns:a="http://schemas.openxmlformats.org/drawingml/2006/main">
          <a:off x="1992876" y="334652"/>
          <a:ext cx="1321823" cy="1328722"/>
        </a:xfrm>
        <a:prstGeom xmlns:a="http://schemas.openxmlformats.org/drawingml/2006/main" prst="rect">
          <a:avLst/>
        </a:prstGeom>
      </cdr:spPr>
      <cdr:txBody>
        <a:bodyPr xmlns:a="http://schemas.openxmlformats.org/drawingml/2006/main" wrap="square" rtlCol="0" anchor="ctr" anchorCtr="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spcAft>
              <a:spcPts val="600"/>
            </a:spcAft>
          </a:pPr>
          <a:r>
            <a:rPr lang="fr-FR" sz="900" b="0">
              <a:solidFill>
                <a:sysClr val="windowText" lastClr="000000">
                  <a:lumMod val="75000"/>
                  <a:lumOff val="25000"/>
                </a:sysClr>
              </a:solidFill>
            </a:rPr>
            <a:t>1 212,6 Md€</a:t>
          </a:r>
        </a:p>
        <a:p xmlns:a="http://schemas.openxmlformats.org/drawingml/2006/main">
          <a:pPr algn="ctr">
            <a:spcAft>
              <a:spcPts val="600"/>
            </a:spcAft>
          </a:pPr>
          <a:r>
            <a:rPr lang="fr-FR" sz="900" b="0">
              <a:solidFill>
                <a:sysClr val="windowText" lastClr="000000">
                  <a:lumMod val="75000"/>
                  <a:lumOff val="25000"/>
                </a:sysClr>
              </a:solidFill>
            </a:rPr>
            <a:t>56,0% du PIB</a:t>
          </a:r>
        </a:p>
      </cdr:txBody>
    </cdr:sp>
  </cdr:relSizeAnchor>
</c:userShapes>
</file>

<file path=word/drawings/drawing4.xml><?xml version="1.0" encoding="utf-8"?>
<c:userShapes xmlns:c="http://schemas.openxmlformats.org/drawingml/2006/chart">
  <cdr:relSizeAnchor xmlns:cdr="http://schemas.openxmlformats.org/drawingml/2006/chartDrawing">
    <cdr:from>
      <cdr:x>0.11163</cdr:x>
      <cdr:y>0.21654</cdr:y>
    </cdr:from>
    <cdr:to>
      <cdr:x>0.43488</cdr:x>
      <cdr:y>0.75197</cdr:y>
    </cdr:to>
    <cdr:sp macro="" textlink="">
      <cdr:nvSpPr>
        <cdr:cNvPr id="3" name="ZoneTexte 1"/>
        <cdr:cNvSpPr txBox="1"/>
      </cdr:nvSpPr>
      <cdr:spPr>
        <a:xfrm xmlns:a="http://schemas.openxmlformats.org/drawingml/2006/main">
          <a:off x="457200" y="523875"/>
          <a:ext cx="1323975" cy="1295400"/>
        </a:xfrm>
        <a:prstGeom xmlns:a="http://schemas.openxmlformats.org/drawingml/2006/main" prst="rect">
          <a:avLst/>
        </a:prstGeom>
      </cdr:spPr>
      <cdr:txBody>
        <a:bodyPr xmlns:a="http://schemas.openxmlformats.org/drawingml/2006/main" wrap="square" rtlCol="0" anchor="ctr" anchorCtr="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spcAft>
              <a:spcPts val="600"/>
            </a:spcAft>
          </a:pPr>
          <a:r>
            <a:rPr lang="fr-FR" sz="900" b="0">
              <a:solidFill>
                <a:sysClr val="windowText" lastClr="000000">
                  <a:lumMod val="75000"/>
                  <a:lumOff val="25000"/>
                </a:sysClr>
              </a:solidFill>
            </a:rPr>
            <a:t>103,6 Md€</a:t>
          </a:r>
        </a:p>
        <a:p xmlns:a="http://schemas.openxmlformats.org/drawingml/2006/main">
          <a:pPr algn="ctr">
            <a:spcAft>
              <a:spcPts val="600"/>
            </a:spcAft>
          </a:pPr>
          <a:r>
            <a:rPr lang="fr-FR" sz="900" b="0">
              <a:solidFill>
                <a:sysClr val="windowText" lastClr="000000">
                  <a:lumMod val="75000"/>
                  <a:lumOff val="25000"/>
                </a:sysClr>
              </a:solidFill>
            </a:rPr>
            <a:t>5,2% du PIB</a:t>
          </a:r>
        </a:p>
      </cdr:txBody>
    </cdr:sp>
  </cdr:relSizeAnchor>
</c:userShapes>
</file>

<file path=word/drawings/drawing5.xml><?xml version="1.0" encoding="utf-8"?>
<c:userShapes xmlns:c="http://schemas.openxmlformats.org/drawingml/2006/chart">
  <cdr:relSizeAnchor xmlns:cdr="http://schemas.openxmlformats.org/drawingml/2006/chartDrawing">
    <cdr:from>
      <cdr:x>0.11856</cdr:x>
      <cdr:y>0.18095</cdr:y>
    </cdr:from>
    <cdr:to>
      <cdr:x>0.48196</cdr:x>
      <cdr:y>0.83333</cdr:y>
    </cdr:to>
    <cdr:sp macro="" textlink="">
      <cdr:nvSpPr>
        <cdr:cNvPr id="3" name="ZoneTexte 1"/>
        <cdr:cNvSpPr txBox="1"/>
      </cdr:nvSpPr>
      <cdr:spPr>
        <a:xfrm xmlns:a="http://schemas.openxmlformats.org/drawingml/2006/main">
          <a:off x="438150" y="361945"/>
          <a:ext cx="1343025" cy="1304930"/>
        </a:xfrm>
        <a:prstGeom xmlns:a="http://schemas.openxmlformats.org/drawingml/2006/main" prst="rect">
          <a:avLst/>
        </a:prstGeom>
      </cdr:spPr>
      <cdr:txBody>
        <a:bodyPr xmlns:a="http://schemas.openxmlformats.org/drawingml/2006/main" wrap="square" rtlCol="0" anchor="ctr" anchorCtr="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spcAft>
              <a:spcPts val="600"/>
            </a:spcAft>
          </a:pPr>
          <a:r>
            <a:rPr lang="fr-FR" sz="900" b="0">
              <a:solidFill>
                <a:sysClr val="windowText" lastClr="000000">
                  <a:lumMod val="75000"/>
                  <a:lumOff val="25000"/>
                </a:sysClr>
              </a:solidFill>
            </a:rPr>
            <a:t>1 789,4 Md€</a:t>
          </a:r>
        </a:p>
        <a:p xmlns:a="http://schemas.openxmlformats.org/drawingml/2006/main">
          <a:pPr algn="ctr">
            <a:spcAft>
              <a:spcPts val="600"/>
            </a:spcAft>
          </a:pPr>
          <a:r>
            <a:rPr lang="fr-FR" sz="900" b="0">
              <a:solidFill>
                <a:sysClr val="windowText" lastClr="000000">
                  <a:lumMod val="75000"/>
                  <a:lumOff val="25000"/>
                </a:sysClr>
              </a:solidFill>
            </a:rPr>
            <a:t>89,3%</a:t>
          </a:r>
          <a:r>
            <a:rPr lang="fr-FR" sz="900" b="0" baseline="0">
              <a:solidFill>
                <a:sysClr val="windowText" lastClr="000000">
                  <a:lumMod val="75000"/>
                  <a:lumOff val="25000"/>
                </a:sysClr>
              </a:solidFill>
            </a:rPr>
            <a:t> du PIB</a:t>
          </a:r>
          <a:endParaRPr lang="fr-FR" sz="900" b="0">
            <a:solidFill>
              <a:sysClr val="windowText" lastClr="000000">
                <a:lumMod val="75000"/>
                <a:lumOff val="25000"/>
              </a:sysClr>
            </a:solidFill>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0.70985</cdr:x>
      <cdr:y>0.58044</cdr:y>
    </cdr:from>
    <cdr:to>
      <cdr:x>0.98137</cdr:x>
      <cdr:y>0.68685</cdr:y>
    </cdr:to>
    <cdr:sp macro="" textlink="">
      <cdr:nvSpPr>
        <cdr:cNvPr id="2" name="ZoneTexte 1"/>
        <cdr:cNvSpPr txBox="1"/>
      </cdr:nvSpPr>
      <cdr:spPr>
        <a:xfrm xmlns:a="http://schemas.openxmlformats.org/drawingml/2006/main">
          <a:off x="2301110" y="1306613"/>
          <a:ext cx="880180" cy="2395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850" b="0">
              <a:solidFill>
                <a:schemeClr val="tx2">
                  <a:lumMod val="75000"/>
                </a:schemeClr>
              </a:solidFill>
            </a:rPr>
            <a:t>Royaume-Uni</a:t>
          </a:r>
        </a:p>
      </cdr:txBody>
    </cdr:sp>
  </cdr:relSizeAnchor>
  <cdr:relSizeAnchor xmlns:cdr="http://schemas.openxmlformats.org/drawingml/2006/chartDrawing">
    <cdr:from>
      <cdr:x>0.62878</cdr:x>
      <cdr:y>0</cdr:y>
    </cdr:from>
    <cdr:to>
      <cdr:x>0.83079</cdr:x>
      <cdr:y>0.10641</cdr:y>
    </cdr:to>
    <cdr:sp macro="" textlink="">
      <cdr:nvSpPr>
        <cdr:cNvPr id="3" name="ZoneTexte 1"/>
        <cdr:cNvSpPr txBox="1"/>
      </cdr:nvSpPr>
      <cdr:spPr>
        <a:xfrm xmlns:a="http://schemas.openxmlformats.org/drawingml/2006/main">
          <a:off x="2037263" y="0"/>
          <a:ext cx="654487" cy="22984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50" b="0">
              <a:solidFill>
                <a:srgbClr val="7A003C"/>
              </a:solidFill>
            </a:rPr>
            <a:t>Etats-Unis</a:t>
          </a:r>
        </a:p>
      </cdr:txBody>
    </cdr:sp>
  </cdr:relSizeAnchor>
  <cdr:relSizeAnchor xmlns:cdr="http://schemas.openxmlformats.org/drawingml/2006/chartDrawing">
    <cdr:from>
      <cdr:x>0.74489</cdr:x>
      <cdr:y>0.12474</cdr:y>
    </cdr:from>
    <cdr:to>
      <cdr:x>1</cdr:x>
      <cdr:y>0.23115</cdr:y>
    </cdr:to>
    <cdr:sp macro="" textlink="">
      <cdr:nvSpPr>
        <cdr:cNvPr id="4" name="ZoneTexte 1"/>
        <cdr:cNvSpPr txBox="1"/>
      </cdr:nvSpPr>
      <cdr:spPr>
        <a:xfrm xmlns:a="http://schemas.openxmlformats.org/drawingml/2006/main">
          <a:off x="2522438" y="269441"/>
          <a:ext cx="826544" cy="2298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850" b="0">
              <a:solidFill>
                <a:schemeClr val="accent6">
                  <a:lumMod val="50000"/>
                </a:schemeClr>
              </a:solidFill>
            </a:rPr>
            <a:t>Luxembourg</a:t>
          </a:r>
        </a:p>
      </cdr:txBody>
    </cdr:sp>
  </cdr:relSizeAnchor>
</c:userShapes>
</file>

<file path=word/drawings/drawing7.xml><?xml version="1.0" encoding="utf-8"?>
<c:userShapes xmlns:c="http://schemas.openxmlformats.org/drawingml/2006/chart">
  <cdr:relSizeAnchor xmlns:cdr="http://schemas.openxmlformats.org/drawingml/2006/chartDrawing">
    <cdr:from>
      <cdr:x>0.23825</cdr:x>
      <cdr:y>0.31048</cdr:y>
    </cdr:from>
    <cdr:to>
      <cdr:x>0.65725</cdr:x>
      <cdr:y>0.78629</cdr:y>
    </cdr:to>
    <cdr:sp macro="" textlink="">
      <cdr:nvSpPr>
        <cdr:cNvPr id="3" name="Connecteur droit 2"/>
        <cdr:cNvSpPr/>
      </cdr:nvSpPr>
      <cdr:spPr>
        <a:xfrm xmlns:a="http://schemas.openxmlformats.org/drawingml/2006/main" flipV="1">
          <a:off x="828675" y="733425"/>
          <a:ext cx="1457325" cy="1123950"/>
        </a:xfrm>
        <a:prstGeom xmlns:a="http://schemas.openxmlformats.org/drawingml/2006/main" prst="line">
          <a:avLst/>
        </a:prstGeom>
        <a:ln xmlns:a="http://schemas.openxmlformats.org/drawingml/2006/main" w="19050">
          <a:solidFill>
            <a:srgbClr val="7A003C"/>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userShapes>
</file>

<file path=word/drawings/drawing8.xml><?xml version="1.0" encoding="utf-8"?>
<c:userShapes xmlns:c="http://schemas.openxmlformats.org/drawingml/2006/chart">
  <cdr:relSizeAnchor xmlns:cdr="http://schemas.openxmlformats.org/drawingml/2006/chartDrawing">
    <cdr:from>
      <cdr:x>0.46954</cdr:x>
      <cdr:y>0.5</cdr:y>
    </cdr:from>
    <cdr:to>
      <cdr:x>0.48649</cdr:x>
      <cdr:y>0.52318</cdr:y>
    </cdr:to>
    <cdr:sp macro="" textlink="">
      <cdr:nvSpPr>
        <cdr:cNvPr id="6145" name="Text Box 1"/>
        <cdr:cNvSpPr txBox="1">
          <a:spLocks xmlns:a="http://schemas.openxmlformats.org/drawingml/2006/main" noChangeArrowheads="1"/>
        </cdr:cNvSpPr>
      </cdr:nvSpPr>
      <cdr:spPr bwMode="auto">
        <a:xfrm xmlns:a="http://schemas.openxmlformats.org/drawingml/2006/main">
          <a:off x="2592651" y="3546475"/>
          <a:ext cx="93490" cy="164297"/>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800" b="0" i="0" strike="noStrike">
              <a:solidFill>
                <a:srgbClr val="000000"/>
              </a:solidFill>
              <a:latin typeface="Helvetica"/>
            </a:rPr>
            <a:t>.</a:t>
          </a:r>
        </a:p>
      </cdr:txBody>
    </cdr:sp>
  </cdr:relSizeAnchor>
</c:userShapes>
</file>

<file path=word/drawings/drawing9.xml><?xml version="1.0" encoding="utf-8"?>
<c:userShapes xmlns:c="http://schemas.openxmlformats.org/drawingml/2006/chart">
  <cdr:relSizeAnchor xmlns:cdr="http://schemas.openxmlformats.org/drawingml/2006/chartDrawing">
    <cdr:from>
      <cdr:x>0</cdr:x>
      <cdr:y>0</cdr:y>
    </cdr:from>
    <cdr:to>
      <cdr:x>0.11012</cdr:x>
      <cdr:y>0.91315</cdr:y>
    </cdr:to>
    <cdr:sp macro="" textlink="">
      <cdr:nvSpPr>
        <cdr:cNvPr id="2" name="TextBox 1"/>
        <cdr:cNvSpPr txBox="1"/>
      </cdr:nvSpPr>
      <cdr:spPr>
        <a:xfrm xmlns:a="http://schemas.openxmlformats.org/drawingml/2006/main" rot="16200000">
          <a:off x="-890031" y="890031"/>
          <a:ext cx="2174446" cy="394384"/>
        </a:xfrm>
        <a:prstGeom xmlns:a="http://schemas.openxmlformats.org/drawingml/2006/main" prst="rect">
          <a:avLst/>
        </a:prstGeom>
        <a:noFill xmlns:a="http://schemas.openxmlformats.org/drawingml/2006/main"/>
      </cdr:spPr>
      <cdr:txBody>
        <a:bodyPr xmlns:a="http://schemas.openxmlformats.org/drawingml/2006/main" vertOverflow="clip" wrap="square" rtlCol="0"/>
        <a:lstStyle xmlns:a="http://schemas.openxmlformats.org/drawingml/2006/main"/>
        <a:p xmlns:a="http://schemas.openxmlformats.org/drawingml/2006/main">
          <a:pPr algn="ctr"/>
          <a:r>
            <a:rPr lang="en-US" sz="900">
              <a:latin typeface="+mn-lt"/>
              <a:cs typeface="Arial" pitchFamily="34" charset="0"/>
            </a:rPr>
            <a:t>Part des versements nets des ménages dans les dépenses courantes</a:t>
          </a:r>
          <a:r>
            <a:rPr lang="en-US" sz="900" baseline="0">
              <a:latin typeface="+mn-lt"/>
              <a:cs typeface="Arial" pitchFamily="34" charset="0"/>
            </a:rPr>
            <a:t> de santé </a:t>
          </a:r>
          <a:r>
            <a:rPr lang="en-US" sz="900">
              <a:latin typeface="+mn-lt"/>
              <a:cs typeface="Arial" pitchFamily="34" charset="0"/>
            </a:rPr>
            <a:t>(%)</a:t>
          </a: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34EC1-BE26-4588-BAF2-741AD32AF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31</Pages>
  <Words>6440</Words>
  <Characters>35421</Characters>
  <Application>Microsoft Office Word</Application>
  <DocSecurity>0</DocSecurity>
  <Lines>295</Lines>
  <Paragraphs>83</Paragraphs>
  <ScaleCrop>false</ScaleCrop>
  <HeadingPairs>
    <vt:vector size="2" baseType="variant">
      <vt:variant>
        <vt:lpstr>Titre</vt:lpstr>
      </vt:variant>
      <vt:variant>
        <vt:i4>1</vt:i4>
      </vt:variant>
    </vt:vector>
  </HeadingPairs>
  <TitlesOfParts>
    <vt:vector size="1" baseType="lpstr">
      <vt:lpstr/>
    </vt:vector>
  </TitlesOfParts>
  <Company>home</Company>
  <LinksUpToDate>false</LinksUpToDate>
  <CharactersWithSpaces>41778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Marques</dc:creator>
  <cp:keywords/>
  <dc:description/>
  <cp:lastModifiedBy>Christophe Marques</cp:lastModifiedBy>
  <cp:revision>54</cp:revision>
  <cp:lastPrinted>2012-09-25T17:05:00Z</cp:lastPrinted>
  <dcterms:created xsi:type="dcterms:W3CDTF">2012-09-19T16:51:00Z</dcterms:created>
  <dcterms:modified xsi:type="dcterms:W3CDTF">2013-12-11T13:08:00Z</dcterms:modified>
</cp:coreProperties>
</file>